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F2417" w14:textId="2A2C3A51" w:rsidR="005F639B" w:rsidRPr="004472FB" w:rsidRDefault="00FC6E73" w:rsidP="004472FB">
      <w:pPr>
        <w:pStyle w:val="Title"/>
        <w:spacing w:line="240" w:lineRule="auto"/>
        <w:rPr>
          <w:rFonts w:ascii="Book Antiqua" w:hAnsi="Book Antiqua"/>
          <w:lang w:val="id-ID"/>
        </w:rPr>
      </w:pPr>
      <w:r w:rsidRPr="004472FB">
        <w:rPr>
          <w:rFonts w:ascii="Book Antiqua" w:hAnsi="Book Antiqua"/>
          <w:sz w:val="32"/>
          <w:szCs w:val="32"/>
          <w:lang w:val="id-ID"/>
        </w:rPr>
        <w:t>Tingkat Kesejahteraan Mental Mahasiswa yang Mengalami Kecemasan di Universita</w:t>
      </w:r>
      <w:bookmarkStart w:id="0" w:name="_GoBack"/>
      <w:bookmarkEnd w:id="0"/>
      <w:r w:rsidRPr="004472FB">
        <w:rPr>
          <w:rFonts w:ascii="Book Antiqua" w:hAnsi="Book Antiqua"/>
          <w:sz w:val="32"/>
          <w:szCs w:val="32"/>
          <w:lang w:val="id-ID"/>
        </w:rPr>
        <w:t>s Muhammadiyah Tasikmalaya</w:t>
      </w:r>
    </w:p>
    <w:p w14:paraId="691865A9" w14:textId="77777777" w:rsidR="001E68A3" w:rsidRPr="004472FB" w:rsidRDefault="001E68A3" w:rsidP="004472FB">
      <w:pPr>
        <w:tabs>
          <w:tab w:val="left" w:pos="1843"/>
        </w:tabs>
        <w:rPr>
          <w:rFonts w:ascii="Book Antiqua" w:hAnsi="Book Antiqua" w:cstheme="minorHAnsi"/>
          <w:b/>
          <w:bCs/>
          <w:sz w:val="24"/>
          <w:szCs w:val="24"/>
          <w:lang w:val="id-ID"/>
        </w:rPr>
      </w:pPr>
    </w:p>
    <w:p w14:paraId="3F4784B4" w14:textId="0570B647" w:rsidR="00FC6E73" w:rsidRPr="004472FB" w:rsidRDefault="00FC6E73" w:rsidP="004472FB">
      <w:pPr>
        <w:jc w:val="center"/>
        <w:rPr>
          <w:rFonts w:ascii="Book Antiqua" w:hAnsi="Book Antiqua" w:cs="Calibri"/>
          <w:b/>
          <w:color w:val="000000"/>
          <w:sz w:val="22"/>
          <w:szCs w:val="22"/>
          <w:vertAlign w:val="superscript"/>
          <w:lang w:val="id-ID"/>
        </w:rPr>
      </w:pPr>
      <w:r w:rsidRPr="004472FB">
        <w:rPr>
          <w:rFonts w:ascii="Book Antiqua" w:hAnsi="Book Antiqua"/>
          <w:b/>
          <w:bCs/>
          <w:sz w:val="22"/>
          <w:lang w:val="id-ID"/>
        </w:rPr>
        <w:t>Khairunnisa Nurtsaqi</w:t>
      </w:r>
      <w:r w:rsidRPr="004472FB">
        <w:rPr>
          <w:rFonts w:ascii="Book Antiqua" w:hAnsi="Book Antiqua"/>
          <w:b/>
          <w:bCs/>
          <w:sz w:val="22"/>
          <w:szCs w:val="22"/>
          <w:lang w:val="id-ID"/>
        </w:rPr>
        <w:t>fa</w:t>
      </w:r>
      <w:r w:rsidRPr="004472FB">
        <w:rPr>
          <w:rFonts w:ascii="Book Antiqua" w:hAnsi="Book Antiqua" w:cs="Calibri"/>
          <w:b/>
          <w:color w:val="000000"/>
          <w:sz w:val="22"/>
          <w:szCs w:val="22"/>
          <w:vertAlign w:val="superscript"/>
          <w:lang w:val="id-ID"/>
        </w:rPr>
        <w:t>1</w:t>
      </w:r>
      <w:r w:rsidRPr="004472FB">
        <w:rPr>
          <w:rFonts w:ascii="Book Antiqua" w:hAnsi="Book Antiqua"/>
          <w:b/>
          <w:bCs/>
          <w:sz w:val="22"/>
          <w:lang w:val="id-ID"/>
        </w:rPr>
        <w:t>, Muhammad Muhajirin</w:t>
      </w:r>
      <w:r w:rsidRPr="004472FB">
        <w:rPr>
          <w:rFonts w:ascii="Book Antiqua" w:hAnsi="Book Antiqua" w:cs="Calibri"/>
          <w:b/>
          <w:color w:val="000000"/>
          <w:sz w:val="22"/>
          <w:szCs w:val="22"/>
          <w:vertAlign w:val="superscript"/>
          <w:lang w:val="id-ID"/>
        </w:rPr>
        <w:t>2</w:t>
      </w:r>
      <w:r w:rsidRPr="004472FB">
        <w:rPr>
          <w:rFonts w:ascii="Book Antiqua" w:hAnsi="Book Antiqua"/>
          <w:b/>
          <w:bCs/>
          <w:sz w:val="22"/>
          <w:lang w:val="id-ID"/>
        </w:rPr>
        <w:t>, Anandha P</w:t>
      </w:r>
      <w:r w:rsidR="004472FB">
        <w:rPr>
          <w:rFonts w:ascii="Book Antiqua" w:hAnsi="Book Antiqua"/>
          <w:b/>
          <w:bCs/>
          <w:sz w:val="22"/>
          <w:lang w:val="id-ID"/>
        </w:rPr>
        <w:t xml:space="preserve">. </w:t>
      </w:r>
      <w:r w:rsidRPr="004472FB">
        <w:rPr>
          <w:rFonts w:ascii="Book Antiqua" w:hAnsi="Book Antiqua"/>
          <w:b/>
          <w:bCs/>
          <w:sz w:val="22"/>
          <w:lang w:val="id-ID"/>
        </w:rPr>
        <w:t>Rahimsyah</w:t>
      </w:r>
      <w:r w:rsidRPr="004472FB">
        <w:rPr>
          <w:rFonts w:ascii="Book Antiqua" w:hAnsi="Book Antiqua" w:cs="Calibri"/>
          <w:b/>
          <w:color w:val="000000"/>
          <w:sz w:val="22"/>
          <w:szCs w:val="22"/>
          <w:vertAlign w:val="superscript"/>
          <w:lang w:val="id-ID"/>
        </w:rPr>
        <w:t>3</w:t>
      </w:r>
    </w:p>
    <w:p w14:paraId="0A5F3027" w14:textId="2E67349A" w:rsidR="00695933" w:rsidRPr="004472FB" w:rsidRDefault="00FC6E73" w:rsidP="004472FB">
      <w:pPr>
        <w:jc w:val="center"/>
        <w:rPr>
          <w:rFonts w:ascii="Book Antiqua" w:hAnsi="Book Antiqua"/>
          <w:bCs/>
          <w:lang w:val="id-ID"/>
        </w:rPr>
      </w:pPr>
      <w:r w:rsidRPr="004472FB">
        <w:rPr>
          <w:rFonts w:ascii="Book Antiqua" w:hAnsi="Book Antiqua" w:cs="Calibri"/>
          <w:bCs/>
          <w:color w:val="000000"/>
          <w:sz w:val="22"/>
          <w:szCs w:val="22"/>
          <w:vertAlign w:val="superscript"/>
          <w:lang w:val="id-ID"/>
        </w:rPr>
        <w:t>1</w:t>
      </w:r>
      <w:r w:rsidR="004472FB">
        <w:rPr>
          <w:rFonts w:ascii="Book Antiqua" w:hAnsi="Book Antiqua" w:cs="Calibri"/>
          <w:bCs/>
          <w:color w:val="000000"/>
          <w:sz w:val="22"/>
          <w:szCs w:val="22"/>
          <w:vertAlign w:val="superscript"/>
          <w:lang w:val="id-ID"/>
        </w:rPr>
        <w:t>,</w:t>
      </w:r>
      <w:r w:rsidRPr="004472FB">
        <w:rPr>
          <w:rFonts w:ascii="Book Antiqua" w:hAnsi="Book Antiqua" w:cs="Calibri"/>
          <w:bCs/>
          <w:color w:val="000000"/>
          <w:sz w:val="22"/>
          <w:szCs w:val="22"/>
          <w:vertAlign w:val="superscript"/>
          <w:lang w:val="id-ID"/>
        </w:rPr>
        <w:t>2</w:t>
      </w:r>
      <w:r w:rsidR="004472FB">
        <w:rPr>
          <w:rFonts w:ascii="Book Antiqua" w:hAnsi="Book Antiqua" w:cs="Calibri"/>
          <w:bCs/>
          <w:color w:val="000000"/>
          <w:sz w:val="22"/>
          <w:szCs w:val="22"/>
          <w:vertAlign w:val="superscript"/>
          <w:lang w:val="id-ID"/>
        </w:rPr>
        <w:t>,</w:t>
      </w:r>
      <w:r w:rsidRPr="004472FB">
        <w:rPr>
          <w:rFonts w:ascii="Book Antiqua" w:hAnsi="Book Antiqua" w:cs="Calibri"/>
          <w:bCs/>
          <w:color w:val="000000"/>
          <w:sz w:val="22"/>
          <w:szCs w:val="22"/>
          <w:vertAlign w:val="superscript"/>
          <w:lang w:val="id-ID"/>
        </w:rPr>
        <w:t>3</w:t>
      </w:r>
      <w:r w:rsidRPr="004472FB">
        <w:rPr>
          <w:rFonts w:ascii="Book Antiqua" w:hAnsi="Book Antiqua"/>
          <w:bCs/>
          <w:lang w:val="id-ID"/>
        </w:rPr>
        <w:t>Bimbingan dan Konseling</w:t>
      </w:r>
      <w:r w:rsidR="00736FBC" w:rsidRPr="004472FB">
        <w:rPr>
          <w:rFonts w:ascii="Book Antiqua" w:hAnsi="Book Antiqua"/>
          <w:bCs/>
          <w:lang w:val="id-ID"/>
        </w:rPr>
        <w:t xml:space="preserve">, </w:t>
      </w:r>
      <w:r w:rsidRPr="004472FB">
        <w:rPr>
          <w:rFonts w:ascii="Book Antiqua" w:hAnsi="Book Antiqua"/>
          <w:bCs/>
          <w:lang w:val="id-ID"/>
        </w:rPr>
        <w:t>Universitas Muhammadiyah Tasikmalaya</w:t>
      </w:r>
      <w:r w:rsidR="00736FBC" w:rsidRPr="004472FB">
        <w:rPr>
          <w:rFonts w:ascii="Book Antiqua" w:hAnsi="Book Antiqua"/>
          <w:bCs/>
          <w:lang w:val="id-ID"/>
        </w:rPr>
        <w:t>, Indonesi</w:t>
      </w:r>
      <w:r w:rsidRPr="004472FB">
        <w:rPr>
          <w:rFonts w:ascii="Book Antiqua" w:hAnsi="Book Antiqua"/>
          <w:bCs/>
          <w:lang w:val="id-ID"/>
        </w:rPr>
        <w:t>a</w:t>
      </w:r>
    </w:p>
    <w:p w14:paraId="6F0C5F74" w14:textId="17B183C7" w:rsidR="00736FBC" w:rsidRPr="004472FB" w:rsidRDefault="00641A81" w:rsidP="004472FB">
      <w:pPr>
        <w:jc w:val="center"/>
        <w:rPr>
          <w:rFonts w:ascii="Book Antiqua" w:hAnsi="Book Antiqua"/>
          <w:lang w:val="id-ID"/>
        </w:rPr>
      </w:pPr>
      <w:r w:rsidRPr="00641A81">
        <w:rPr>
          <w:rFonts w:ascii="Book Antiqua" w:hAnsi="Book Antiqua"/>
        </w:rPr>
        <w:t>knurtsaqifa04@gmail.com</w:t>
      </w:r>
    </w:p>
    <w:p w14:paraId="7AFDCF22" w14:textId="43B870AF" w:rsidR="00641A81" w:rsidRDefault="00641A81" w:rsidP="00641A81">
      <w:pPr>
        <w:jc w:val="center"/>
        <w:rPr>
          <w:rFonts w:ascii="Book Antiqua" w:eastAsia="Calibri" w:hAnsi="Book Antiqua"/>
        </w:rPr>
      </w:pPr>
      <w:r w:rsidRPr="004B61A6">
        <w:rPr>
          <w:rFonts w:ascii="Book Antiqua" w:eastAsia="Calibri" w:hAnsi="Book Antiqua"/>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8787"/>
      </w:tblGrid>
      <w:tr w:rsidR="00641A81" w14:paraId="00EA002B" w14:textId="77777777" w:rsidTr="00B43A67">
        <w:trPr>
          <w:trHeight w:val="436"/>
        </w:trPr>
        <w:tc>
          <w:tcPr>
            <w:tcW w:w="9061" w:type="dxa"/>
            <w:tcBorders>
              <w:top w:val="single" w:sz="4" w:space="0" w:color="auto"/>
              <w:left w:val="nil"/>
              <w:bottom w:val="single" w:sz="4" w:space="0" w:color="auto"/>
              <w:right w:val="nil"/>
            </w:tcBorders>
            <w:vAlign w:val="center"/>
            <w:hideMark/>
          </w:tcPr>
          <w:p w14:paraId="76003479" w14:textId="77777777" w:rsidR="00641A81" w:rsidRDefault="00641A81" w:rsidP="00B43A67">
            <w:pPr>
              <w:spacing w:line="252" w:lineRule="auto"/>
              <w:ind w:left="425" w:hanging="142"/>
              <w:jc w:val="center"/>
              <w:rPr>
                <w:rFonts w:ascii="Book Antiqua" w:eastAsia="Calibri" w:hAnsi="Book Antiqua" w:cs="Calibri"/>
                <w:b/>
              </w:rPr>
            </w:pPr>
            <w:proofErr w:type="gramStart"/>
            <w:r w:rsidRPr="007F1E28">
              <w:rPr>
                <w:rFonts w:ascii="Book Antiqua" w:eastAsia="Calibri" w:hAnsi="Book Antiqua" w:cs="Calibri"/>
                <w:b/>
                <w:i/>
                <w:iCs/>
              </w:rPr>
              <w:t>Received :</w:t>
            </w:r>
            <w:proofErr w:type="gramEnd"/>
            <w:r w:rsidRPr="007F1E28">
              <w:rPr>
                <w:rFonts w:ascii="Book Antiqua" w:eastAsia="Calibri" w:hAnsi="Book Antiqua" w:cs="Calibri"/>
                <w:b/>
                <w:i/>
                <w:iCs/>
              </w:rPr>
              <w:t xml:space="preserve"> </w:t>
            </w:r>
            <w:r>
              <w:rPr>
                <w:rFonts w:ascii="Book Antiqua" w:eastAsia="Calibri" w:hAnsi="Book Antiqua" w:cs="Calibri"/>
                <w:b/>
                <w:i/>
                <w:iCs/>
              </w:rPr>
              <w:t>Jun</w:t>
            </w:r>
            <w:r w:rsidRPr="007F1E28">
              <w:rPr>
                <w:rFonts w:ascii="Book Antiqua" w:eastAsia="Calibri" w:hAnsi="Book Antiqua" w:cs="Calibri"/>
                <w:b/>
                <w:i/>
                <w:iCs/>
              </w:rPr>
              <w:t>’ 202</w:t>
            </w:r>
            <w:r>
              <w:rPr>
                <w:rFonts w:ascii="Book Antiqua" w:eastAsia="Calibri" w:hAnsi="Book Antiqua" w:cs="Calibri"/>
                <w:b/>
                <w:i/>
                <w:iCs/>
              </w:rPr>
              <w:t>6</w:t>
            </w:r>
            <w:r w:rsidRPr="007F1E28">
              <w:rPr>
                <w:rFonts w:ascii="Book Antiqua" w:eastAsia="Calibri" w:hAnsi="Book Antiqua" w:cs="Calibri"/>
                <w:b/>
                <w:i/>
                <w:iCs/>
              </w:rPr>
              <w:t xml:space="preserve"> Revised : </w:t>
            </w:r>
            <w:r>
              <w:rPr>
                <w:rFonts w:ascii="Book Antiqua" w:eastAsia="Calibri" w:hAnsi="Book Antiqua" w:cs="Calibri"/>
                <w:b/>
                <w:i/>
                <w:iCs/>
              </w:rPr>
              <w:t>Jul</w:t>
            </w:r>
            <w:r w:rsidRPr="007F1E28">
              <w:rPr>
                <w:rFonts w:ascii="Book Antiqua" w:eastAsia="Calibri" w:hAnsi="Book Antiqua" w:cs="Calibri"/>
                <w:b/>
                <w:i/>
                <w:iCs/>
              </w:rPr>
              <w:t>’ 202</w:t>
            </w:r>
            <w:r>
              <w:rPr>
                <w:rFonts w:ascii="Book Antiqua" w:eastAsia="Calibri" w:hAnsi="Book Antiqua" w:cs="Calibri"/>
                <w:b/>
                <w:i/>
                <w:iCs/>
              </w:rPr>
              <w:t>6</w:t>
            </w:r>
            <w:r w:rsidRPr="007F1E28">
              <w:rPr>
                <w:rFonts w:ascii="Book Antiqua" w:eastAsia="Calibri" w:hAnsi="Book Antiqua" w:cs="Calibri"/>
                <w:b/>
                <w:i/>
                <w:iCs/>
              </w:rPr>
              <w:t xml:space="preserve"> Accepted : </w:t>
            </w:r>
            <w:r>
              <w:rPr>
                <w:rFonts w:ascii="Book Antiqua" w:eastAsia="Calibri" w:hAnsi="Book Antiqua" w:cs="Calibri"/>
                <w:b/>
                <w:i/>
                <w:iCs/>
              </w:rPr>
              <w:t>Aug</w:t>
            </w:r>
            <w:r w:rsidRPr="007F1E28">
              <w:rPr>
                <w:rFonts w:ascii="Book Antiqua" w:eastAsia="Calibri" w:hAnsi="Book Antiqua" w:cs="Calibri"/>
                <w:b/>
                <w:i/>
                <w:iCs/>
              </w:rPr>
              <w:t>’ 202</w:t>
            </w:r>
            <w:r>
              <w:rPr>
                <w:rFonts w:ascii="Book Antiqua" w:eastAsia="Calibri" w:hAnsi="Book Antiqua" w:cs="Calibri"/>
                <w:b/>
                <w:i/>
                <w:iCs/>
              </w:rPr>
              <w:t>6</w:t>
            </w:r>
            <w:r w:rsidRPr="007F1E28">
              <w:rPr>
                <w:rFonts w:ascii="Book Antiqua" w:eastAsia="Calibri" w:hAnsi="Book Antiqua" w:cs="Calibri"/>
                <w:b/>
                <w:i/>
                <w:iCs/>
              </w:rPr>
              <w:t xml:space="preserve"> </w:t>
            </w:r>
            <w:r w:rsidRPr="007F1E28">
              <w:rPr>
                <w:rFonts w:ascii="Book Antiqua" w:eastAsia="Calibri" w:hAnsi="Book Antiqua" w:cs="Calibri"/>
                <w:b/>
                <w:i/>
                <w:iCs/>
                <w:lang w:val="en-GB"/>
              </w:rPr>
              <w:t xml:space="preserve">Published : </w:t>
            </w:r>
            <w:r>
              <w:rPr>
                <w:rFonts w:ascii="Book Antiqua" w:eastAsia="Calibri" w:hAnsi="Book Antiqua" w:cs="Calibri"/>
                <w:b/>
                <w:i/>
                <w:iCs/>
              </w:rPr>
              <w:t>Aug</w:t>
            </w:r>
            <w:r w:rsidRPr="007F1E28">
              <w:rPr>
                <w:rFonts w:ascii="Book Antiqua" w:eastAsia="Calibri" w:hAnsi="Book Antiqua" w:cs="Calibri"/>
                <w:b/>
                <w:i/>
                <w:iCs/>
              </w:rPr>
              <w:t>’ 202</w:t>
            </w:r>
            <w:r>
              <w:rPr>
                <w:rFonts w:ascii="Book Antiqua" w:eastAsia="Calibri" w:hAnsi="Book Antiqua" w:cs="Calibri"/>
                <w:b/>
                <w:i/>
                <w:iCs/>
              </w:rPr>
              <w:t>6</w:t>
            </w:r>
          </w:p>
        </w:tc>
      </w:tr>
    </w:tbl>
    <w:p w14:paraId="2C152EFD" w14:textId="77777777" w:rsidR="00641A81" w:rsidRPr="00D25AAF" w:rsidRDefault="00641A81" w:rsidP="00641A81">
      <w:pPr>
        <w:ind w:firstLine="709"/>
        <w:jc w:val="both"/>
        <w:rPr>
          <w:rFonts w:ascii="Book Antiqua" w:hAnsi="Book Antiqua" w:cstheme="minorHAnsi"/>
          <w:b/>
          <w:bCs/>
          <w:i/>
          <w:iCs/>
          <w:sz w:val="18"/>
          <w:lang w:val="id-ID"/>
        </w:rPr>
      </w:pPr>
    </w:p>
    <w:p w14:paraId="11C60567" w14:textId="3B8F13F7" w:rsidR="00406341" w:rsidRPr="004472FB" w:rsidRDefault="005D3FAE" w:rsidP="00641A81">
      <w:pPr>
        <w:ind w:firstLine="709"/>
        <w:rPr>
          <w:rStyle w:val="longtext"/>
          <w:rFonts w:ascii="Book Antiqua" w:hAnsi="Book Antiqua" w:cstheme="minorHAnsi"/>
          <w:szCs w:val="24"/>
          <w:shd w:val="clear" w:color="auto" w:fill="FFFFFF"/>
          <w:lang w:val="id-ID"/>
        </w:rPr>
      </w:pPr>
      <w:r w:rsidRPr="004472FB">
        <w:rPr>
          <w:rFonts w:ascii="Book Antiqua" w:hAnsi="Book Antiqua" w:cstheme="minorHAnsi"/>
          <w:b/>
          <w:bCs/>
          <w:i/>
          <w:iCs/>
          <w:szCs w:val="24"/>
          <w:lang w:val="id-ID"/>
        </w:rPr>
        <w:t>ABSTRACT</w:t>
      </w:r>
    </w:p>
    <w:p w14:paraId="641E65F3" w14:textId="0381B537" w:rsidR="00406341" w:rsidRPr="004472FB" w:rsidRDefault="003B2849" w:rsidP="004472FB">
      <w:pPr>
        <w:pStyle w:val="HTMLPreformatted"/>
        <w:ind w:left="709"/>
        <w:jc w:val="both"/>
        <w:rPr>
          <w:rFonts w:ascii="Book Antiqua" w:hAnsi="Book Antiqua"/>
          <w:i/>
          <w:color w:val="202124"/>
        </w:rPr>
      </w:pPr>
      <w:r w:rsidRPr="004472FB">
        <w:rPr>
          <w:rStyle w:val="y2iqfc"/>
          <w:rFonts w:ascii="Book Antiqua" w:hAnsi="Book Antiqua"/>
          <w:i/>
          <w:color w:val="202124"/>
        </w:rPr>
        <w:t xml:space="preserve">Anxiety is one of the most common mental health problems experienced by university students, particularly during the transition to higher education marked by demanding academic and psychosocial pressures. If left unmanaged, this condition can lower students mental well-being. </w:t>
      </w:r>
      <w:r w:rsidR="00B05BF3" w:rsidRPr="004472FB">
        <w:rPr>
          <w:rStyle w:val="y2iqfc"/>
          <w:rFonts w:ascii="Book Antiqua" w:hAnsi="Book Antiqua"/>
          <w:i/>
          <w:color w:val="202124"/>
        </w:rPr>
        <w:t>This study aimed to describe the mental well-being of the 2025 cohort of students at Universitas Muhammadiyah Tasikmalaya who experience anxiety. The study employed a quantitative approach with a descriptive research design. Data were collected from 244 students using the Depression Anxiety Stress Scale-21 (DASS-21) and the Warwick-Edinburgh Mental Well-Being Scale (WEMWBS). Based on the anxiety assessment result, 94 students with mild to extremely severe anxiety were included in the analysis. The findings revealed that the majority of students had a moderate level of mental well-being (74,47%), while 10,64% had a low level and 14,89% had a high level of mental well-being. Analysis by aspect showed that emotional well-being reached 68,72% and psychological well-being reached 68,94%, indicating that both aspect were at a relatively good level. These findings indicate that university</w:t>
      </w:r>
      <w:r w:rsidR="00343D7A" w:rsidRPr="004472FB">
        <w:rPr>
          <w:rStyle w:val="y2iqfc"/>
          <w:rFonts w:ascii="Book Antiqua" w:hAnsi="Book Antiqua"/>
          <w:i/>
          <w:color w:val="202124"/>
        </w:rPr>
        <w:t xml:space="preserve"> students experiencing anxiety are still able to maintain relatively good mental well-being. Therefore, efforts to promote mental well-being through guidance and counseling services in higher education are needed to support personal, academic, and social development among university students.</w:t>
      </w:r>
    </w:p>
    <w:p w14:paraId="02697B75" w14:textId="77777777" w:rsidR="00406341" w:rsidRPr="004472FB" w:rsidRDefault="00406341" w:rsidP="004472FB">
      <w:pPr>
        <w:ind w:left="709"/>
        <w:jc w:val="both"/>
        <w:rPr>
          <w:rFonts w:ascii="Book Antiqua" w:hAnsi="Book Antiqua" w:cstheme="minorHAnsi"/>
          <w:b/>
          <w:bCs/>
          <w:i/>
          <w:iCs/>
          <w:szCs w:val="24"/>
          <w:lang w:val="id-ID"/>
        </w:rPr>
      </w:pPr>
    </w:p>
    <w:p w14:paraId="2BD73C74" w14:textId="2E5AAE6A" w:rsidR="00736FBC" w:rsidRPr="004472FB" w:rsidRDefault="00FF75DD" w:rsidP="005A02E1">
      <w:pPr>
        <w:ind w:left="1843" w:hanging="1134"/>
        <w:jc w:val="both"/>
        <w:rPr>
          <w:rFonts w:ascii="Book Antiqua" w:hAnsi="Book Antiqua"/>
          <w:i/>
          <w:iCs/>
          <w:color w:val="000000"/>
          <w:szCs w:val="22"/>
          <w:lang w:val="id-ID"/>
        </w:rPr>
      </w:pPr>
      <w:r w:rsidRPr="004472FB">
        <w:rPr>
          <w:rFonts w:ascii="Book Antiqua" w:hAnsi="Book Antiqua"/>
          <w:b/>
          <w:i/>
          <w:iCs/>
          <w:color w:val="000000"/>
          <w:szCs w:val="22"/>
          <w:lang w:val="id-ID"/>
        </w:rPr>
        <w:t>Keywords</w:t>
      </w:r>
      <w:r w:rsidRPr="004472FB">
        <w:rPr>
          <w:rFonts w:ascii="Book Antiqua" w:hAnsi="Book Antiqua"/>
          <w:b/>
          <w:iCs/>
          <w:color w:val="000000"/>
          <w:szCs w:val="22"/>
          <w:lang w:val="id-ID"/>
        </w:rPr>
        <w:t xml:space="preserve"> :</w:t>
      </w:r>
      <w:r w:rsidRPr="004472FB">
        <w:rPr>
          <w:rFonts w:ascii="Book Antiqua" w:hAnsi="Book Antiqua"/>
          <w:iCs/>
          <w:color w:val="000000"/>
          <w:szCs w:val="22"/>
          <w:lang w:val="id-ID"/>
        </w:rPr>
        <w:t xml:space="preserve"> </w:t>
      </w:r>
      <w:r w:rsidR="00343D7A" w:rsidRPr="004472FB">
        <w:rPr>
          <w:rFonts w:ascii="Book Antiqua" w:hAnsi="Book Antiqua"/>
          <w:i/>
          <w:iCs/>
          <w:color w:val="000000"/>
          <w:szCs w:val="22"/>
          <w:lang w:val="id-ID"/>
        </w:rPr>
        <w:t>Anxiety</w:t>
      </w:r>
      <w:r w:rsidRPr="004472FB">
        <w:rPr>
          <w:rFonts w:ascii="Book Antiqua" w:hAnsi="Book Antiqua"/>
          <w:i/>
          <w:iCs/>
          <w:color w:val="000000"/>
          <w:szCs w:val="22"/>
          <w:lang w:val="id-ID"/>
        </w:rPr>
        <w:t xml:space="preserve">; </w:t>
      </w:r>
      <w:r w:rsidR="00343D7A" w:rsidRPr="004472FB">
        <w:rPr>
          <w:rFonts w:ascii="Book Antiqua" w:hAnsi="Book Antiqua"/>
          <w:i/>
          <w:iCs/>
          <w:color w:val="000000"/>
          <w:szCs w:val="22"/>
          <w:lang w:val="id-ID"/>
        </w:rPr>
        <w:t>Emotional Well-Being; Mental Well-Being; Psychological Well-Being; University Students.</w:t>
      </w:r>
    </w:p>
    <w:p w14:paraId="6A1913A6" w14:textId="77777777" w:rsidR="007F38C0" w:rsidRPr="004472FB" w:rsidRDefault="007F38C0" w:rsidP="004472FB">
      <w:pPr>
        <w:ind w:left="709"/>
        <w:jc w:val="both"/>
        <w:rPr>
          <w:rFonts w:ascii="Book Antiqua" w:hAnsi="Book Antiqua" w:cstheme="minorHAnsi"/>
          <w:i/>
          <w:szCs w:val="24"/>
          <w:lang w:val="id-ID"/>
        </w:rPr>
      </w:pPr>
    </w:p>
    <w:p w14:paraId="5FC7B105" w14:textId="10E4C95F" w:rsidR="004B003A" w:rsidRPr="004472FB" w:rsidRDefault="00736FBC" w:rsidP="004472FB">
      <w:pPr>
        <w:ind w:left="709"/>
        <w:jc w:val="both"/>
        <w:rPr>
          <w:rStyle w:val="longtext"/>
          <w:rFonts w:ascii="Book Antiqua" w:hAnsi="Book Antiqua" w:cstheme="minorHAnsi"/>
          <w:szCs w:val="24"/>
          <w:shd w:val="clear" w:color="auto" w:fill="FFFFFF"/>
          <w:lang w:val="id-ID"/>
        </w:rPr>
      </w:pPr>
      <w:r w:rsidRPr="004472FB">
        <w:rPr>
          <w:rFonts w:ascii="Book Antiqua" w:hAnsi="Book Antiqua" w:cstheme="minorHAnsi"/>
          <w:b/>
          <w:iCs/>
          <w:szCs w:val="24"/>
          <w:lang w:val="id-ID"/>
        </w:rPr>
        <w:t>ABSTRAK</w:t>
      </w:r>
    </w:p>
    <w:p w14:paraId="31BF681B" w14:textId="2836592F" w:rsidR="00736FBC" w:rsidRPr="004472FB" w:rsidRDefault="006968C3" w:rsidP="004472FB">
      <w:pPr>
        <w:ind w:left="709"/>
        <w:jc w:val="both"/>
        <w:rPr>
          <w:rStyle w:val="longtext"/>
          <w:rFonts w:ascii="Book Antiqua" w:hAnsi="Book Antiqua" w:cstheme="minorHAnsi"/>
          <w:szCs w:val="24"/>
          <w:shd w:val="clear" w:color="auto" w:fill="FFFFFF"/>
          <w:lang w:val="id-ID"/>
        </w:rPr>
      </w:pPr>
      <w:r w:rsidRPr="004472FB">
        <w:rPr>
          <w:rFonts w:ascii="Book Antiqua" w:hAnsi="Book Antiqua" w:cstheme="minorHAnsi"/>
          <w:iCs/>
          <w:szCs w:val="24"/>
          <w:lang w:val="id-ID"/>
        </w:rPr>
        <w:t>Kecemasan merupakan salah satu gangguan kesehatan mental yang paling umum dialami mahasiswa, terutama pada masa transisi menuju perguruan tinggi yang penuh tuntutan akademik dan psikososial. Apabila tidak dikelola dengan baik, kondisi tersebut dapat menurunkan kesejahteraan mental mahas</w:t>
      </w:r>
      <w:r w:rsidR="00E14DD6" w:rsidRPr="004472FB">
        <w:rPr>
          <w:rFonts w:ascii="Book Antiqua" w:hAnsi="Book Antiqua" w:cstheme="minorHAnsi"/>
          <w:iCs/>
          <w:szCs w:val="24"/>
          <w:lang w:val="id-ID"/>
        </w:rPr>
        <w:t>iswa</w:t>
      </w:r>
      <w:r w:rsidR="00343D7A" w:rsidRPr="004472FB">
        <w:rPr>
          <w:rStyle w:val="longtext"/>
          <w:rFonts w:ascii="Book Antiqua" w:hAnsi="Book Antiqua" w:cstheme="minorHAnsi"/>
          <w:szCs w:val="24"/>
          <w:shd w:val="clear" w:color="auto" w:fill="FFFFFF"/>
          <w:lang w:val="id-ID"/>
        </w:rPr>
        <w:t xml:space="preserve">. Penelitian ini bertujuan untuk memperoleh gambaran kesejahteraan mental mahasiswa Universitas Muhammadiyah Tasikmalaya angkatan 2025 yang mengalami kecemasan. Penelitian menggunakan pendekatan kuantitatif dengan desain deskriptif. Data dikumpulkan dari 244 mahasiswa menggunakan </w:t>
      </w:r>
      <w:r w:rsidR="00343D7A" w:rsidRPr="004472FB">
        <w:rPr>
          <w:rStyle w:val="longtext"/>
          <w:rFonts w:ascii="Book Antiqua" w:hAnsi="Book Antiqua" w:cstheme="minorHAnsi"/>
          <w:i/>
          <w:iCs/>
          <w:szCs w:val="24"/>
          <w:shd w:val="clear" w:color="auto" w:fill="FFFFFF"/>
          <w:lang w:val="id-ID"/>
        </w:rPr>
        <w:t xml:space="preserve">Depression Anxiety Stress Scale-21 </w:t>
      </w:r>
      <w:r w:rsidR="00343D7A" w:rsidRPr="004472FB">
        <w:rPr>
          <w:rStyle w:val="longtext"/>
          <w:rFonts w:ascii="Book Antiqua" w:hAnsi="Book Antiqua" w:cstheme="minorHAnsi"/>
          <w:szCs w:val="24"/>
          <w:shd w:val="clear" w:color="auto" w:fill="FFFFFF"/>
          <w:lang w:val="id-ID"/>
        </w:rPr>
        <w:t xml:space="preserve">dan </w:t>
      </w:r>
      <w:r w:rsidR="00343D7A" w:rsidRPr="004472FB">
        <w:rPr>
          <w:rStyle w:val="longtext"/>
          <w:rFonts w:ascii="Book Antiqua" w:hAnsi="Book Antiqua" w:cstheme="minorHAnsi"/>
          <w:i/>
          <w:iCs/>
          <w:szCs w:val="24"/>
          <w:shd w:val="clear" w:color="auto" w:fill="FFFFFF"/>
          <w:lang w:val="id-ID"/>
        </w:rPr>
        <w:t>Warwick-Edinburgh</w:t>
      </w:r>
      <w:r w:rsidR="005F6EE6" w:rsidRPr="004472FB">
        <w:rPr>
          <w:rStyle w:val="longtext"/>
          <w:rFonts w:ascii="Book Antiqua" w:hAnsi="Book Antiqua" w:cstheme="minorHAnsi"/>
          <w:i/>
          <w:iCs/>
          <w:szCs w:val="24"/>
          <w:shd w:val="clear" w:color="auto" w:fill="FFFFFF"/>
          <w:lang w:val="id-ID"/>
        </w:rPr>
        <w:t xml:space="preserve"> Mental Well-Being Scale</w:t>
      </w:r>
      <w:r w:rsidR="005F6EE6" w:rsidRPr="004472FB">
        <w:rPr>
          <w:rStyle w:val="longtext"/>
          <w:rFonts w:ascii="Book Antiqua" w:hAnsi="Book Antiqua" w:cstheme="minorHAnsi"/>
          <w:szCs w:val="24"/>
          <w:shd w:val="clear" w:color="auto" w:fill="FFFFFF"/>
          <w:lang w:val="id-ID"/>
        </w:rPr>
        <w:t>. Berdasarkan hasil pengukuran kecemasan, sebanyak 94 mahasiswa dengan kategori kecemasan ringan hingga sangat parah dijadikan subjek analisis. Hasil penelitian menunjukkan bahwa mayoritas memiliki tingkat kesejahteraan mental pada kategori sedang (74,47%), sedangkan 10,64% berada pada kategori rendah, dan 14,89% pada kategori tinggi. Analisis berdasarkan aspek menunjukkan bahwa kesejahteraan emosional memperoleh persentase sebesar 68,72% dan kesejahteraan psikologis sebesar 68,94%, keduanya menunjukkan tingkat kesejahteraan cukup baik</w:t>
      </w:r>
      <w:r w:rsidR="00E34034" w:rsidRPr="004472FB">
        <w:rPr>
          <w:rStyle w:val="longtext"/>
          <w:rFonts w:ascii="Book Antiqua" w:hAnsi="Book Antiqua" w:cstheme="minorHAnsi"/>
          <w:szCs w:val="24"/>
          <w:shd w:val="clear" w:color="auto" w:fill="FFFFFF"/>
          <w:lang w:val="id-ID"/>
        </w:rPr>
        <w:t>. T</w:t>
      </w:r>
      <w:r w:rsidR="005F6EE6" w:rsidRPr="004472FB">
        <w:rPr>
          <w:rStyle w:val="longtext"/>
          <w:rFonts w:ascii="Book Antiqua" w:hAnsi="Book Antiqua" w:cstheme="minorHAnsi"/>
          <w:szCs w:val="24"/>
          <w:shd w:val="clear" w:color="auto" w:fill="FFFFFF"/>
          <w:lang w:val="id-ID"/>
        </w:rPr>
        <w:t xml:space="preserve">emuan ini menunjukkan bahwa mahasiswa yang mengalami kecemasan masih mampu mempertahankan kesejahteraan mental yang cukup baik. Oleh karena itu, diperlukan upaya pengembangan kesejahteraan </w:t>
      </w:r>
      <w:r w:rsidR="005F6EE6" w:rsidRPr="004472FB">
        <w:rPr>
          <w:rStyle w:val="longtext"/>
          <w:rFonts w:ascii="Book Antiqua" w:hAnsi="Book Antiqua" w:cstheme="minorHAnsi"/>
          <w:szCs w:val="24"/>
          <w:shd w:val="clear" w:color="auto" w:fill="FFFFFF"/>
          <w:lang w:val="id-ID"/>
        </w:rPr>
        <w:lastRenderedPageBreak/>
        <w:t>mental melalui layanan bimbingan dan konseling di perguruan tinggi untuk mendukung perkembangan pribadi, akademik, dan sosial mahasiswa.</w:t>
      </w:r>
    </w:p>
    <w:p w14:paraId="2D7A92DE" w14:textId="77777777" w:rsidR="0090524A" w:rsidRPr="004472FB" w:rsidRDefault="0090524A" w:rsidP="004472FB">
      <w:pPr>
        <w:ind w:left="709"/>
        <w:jc w:val="both"/>
        <w:rPr>
          <w:rStyle w:val="longtext"/>
          <w:rFonts w:ascii="Book Antiqua" w:hAnsi="Book Antiqua" w:cstheme="minorHAnsi"/>
          <w:szCs w:val="24"/>
          <w:shd w:val="clear" w:color="auto" w:fill="FFFFFF"/>
          <w:lang w:val="id-ID"/>
        </w:rPr>
      </w:pPr>
    </w:p>
    <w:p w14:paraId="170993CD" w14:textId="6E8E2C04" w:rsidR="00736FBC" w:rsidRPr="004472FB" w:rsidRDefault="00736FBC" w:rsidP="005A02E1">
      <w:pPr>
        <w:ind w:left="1985" w:hanging="1276"/>
        <w:jc w:val="both"/>
        <w:rPr>
          <w:rFonts w:ascii="Book Antiqua" w:hAnsi="Book Antiqua" w:cstheme="minorHAnsi"/>
          <w:szCs w:val="24"/>
          <w:lang w:val="id-ID"/>
        </w:rPr>
      </w:pPr>
      <w:r w:rsidRPr="004472FB">
        <w:rPr>
          <w:rFonts w:ascii="Book Antiqua" w:hAnsi="Book Antiqua" w:cstheme="minorHAnsi"/>
          <w:b/>
          <w:szCs w:val="24"/>
          <w:lang w:val="id-ID"/>
        </w:rPr>
        <w:t>Kata Kunci</w:t>
      </w:r>
      <w:r w:rsidR="005D0F6E" w:rsidRPr="004472FB">
        <w:rPr>
          <w:rFonts w:ascii="Book Antiqua" w:hAnsi="Book Antiqua" w:cstheme="minorHAnsi"/>
          <w:szCs w:val="24"/>
          <w:lang w:val="id-ID"/>
        </w:rPr>
        <w:t xml:space="preserve"> : </w:t>
      </w:r>
      <w:r w:rsidR="005F6EE6" w:rsidRPr="004472FB">
        <w:rPr>
          <w:rFonts w:ascii="Book Antiqua" w:hAnsi="Book Antiqua" w:cstheme="minorHAnsi"/>
          <w:szCs w:val="24"/>
          <w:lang w:val="id-ID"/>
        </w:rPr>
        <w:t>Kecemasan; Kesejahteraan Emosional; Kesejahteraan Mental; Kesejahteraan Psikologis; Mahasiswa.</w:t>
      </w:r>
    </w:p>
    <w:p w14:paraId="532C1334" w14:textId="1FD1C822" w:rsidR="005D0F6E" w:rsidRPr="004472FB" w:rsidRDefault="005A02E1" w:rsidP="004472FB">
      <w:pPr>
        <w:ind w:left="709"/>
        <w:rPr>
          <w:rFonts w:ascii="Book Antiqua" w:hAnsi="Book Antiqua" w:cstheme="minorHAnsi"/>
          <w:b/>
          <w:i/>
          <w:iCs/>
          <w:color w:val="1F497D" w:themeColor="text2"/>
          <w:szCs w:val="24"/>
          <w:lang w:val="id-ID"/>
        </w:rPr>
      </w:pPr>
      <w:r w:rsidRPr="004472FB">
        <w:rPr>
          <w:rFonts w:ascii="Book Antiqua" w:hAnsi="Book Antiqua" w:cstheme="minorHAnsi"/>
          <w:iCs/>
          <w:noProof/>
          <w:sz w:val="24"/>
          <w:szCs w:val="24"/>
          <w:lang w:val="id-ID"/>
        </w:rPr>
        <mc:AlternateContent>
          <mc:Choice Requires="wps">
            <w:drawing>
              <wp:anchor distT="0" distB="0" distL="114300" distR="114300" simplePos="0" relativeHeight="251662336" behindDoc="0" locked="0" layoutInCell="1" allowOverlap="1" wp14:anchorId="1E314DD2" wp14:editId="7A474D25">
                <wp:simplePos x="0" y="0"/>
                <wp:positionH relativeFrom="column">
                  <wp:posOffset>15240</wp:posOffset>
                </wp:positionH>
                <wp:positionV relativeFrom="paragraph">
                  <wp:posOffset>79375</wp:posOffset>
                </wp:positionV>
                <wp:extent cx="5572125" cy="1905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572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35EF7C7"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6.25pt" to="439.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" strokecolor="black [3040]"/>
            </w:pict>
          </mc:Fallback>
        </mc:AlternateContent>
      </w:r>
    </w:p>
    <w:p w14:paraId="04C40DB5" w14:textId="285DF8EB" w:rsidR="007F38C0" w:rsidRPr="004472FB" w:rsidRDefault="007F38C0" w:rsidP="004472FB">
      <w:pPr>
        <w:jc w:val="both"/>
        <w:rPr>
          <w:rFonts w:ascii="Book Antiqua" w:hAnsi="Book Antiqua" w:cstheme="minorHAnsi"/>
          <w:iCs/>
          <w:sz w:val="24"/>
          <w:szCs w:val="24"/>
          <w:lang w:val="id-ID"/>
        </w:rPr>
      </w:pPr>
      <w:r w:rsidRPr="004472FB">
        <w:rPr>
          <w:rFonts w:ascii="Book Antiqua" w:hAnsi="Book Antiqua"/>
          <w:b/>
          <w:bCs/>
          <w:sz w:val="24"/>
          <w:szCs w:val="24"/>
          <w:lang w:val="id-ID"/>
        </w:rPr>
        <w:t>PENDAHULUAN</w:t>
      </w:r>
    </w:p>
    <w:p w14:paraId="0FAE8D63" w14:textId="4379361A" w:rsidR="007F38C0" w:rsidRPr="004472FB" w:rsidRDefault="006E1C71"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Mahasiswa berada pada tahap perkembangan yang dikenal sebagai fase </w:t>
      </w:r>
      <w:r w:rsidRPr="004472FB">
        <w:rPr>
          <w:rFonts w:ascii="Book Antiqua" w:hAnsi="Book Antiqua"/>
          <w:i/>
          <w:iCs/>
          <w:sz w:val="24"/>
          <w:szCs w:val="24"/>
          <w:lang w:val="id-ID"/>
        </w:rPr>
        <w:t xml:space="preserve">emerging adulthood </w:t>
      </w:r>
      <w:r w:rsidRPr="004472FB">
        <w:rPr>
          <w:rFonts w:ascii="Book Antiqua" w:hAnsi="Book Antiqua"/>
          <w:sz w:val="24"/>
          <w:szCs w:val="24"/>
          <w:lang w:val="id-ID"/>
        </w:rPr>
        <w:t>atau dewasa awal. Pada masa transisi dari remaja menuju dewasa, individu mulai menghadapi berbagai tuntutan dan permasalahan yang memengaruhi berbagai aspek kehidupannya</w:t>
      </w:r>
      <w:r w:rsidR="007B72D0" w:rsidRPr="004472FB">
        <w:rPr>
          <w:rFonts w:ascii="Book Antiqua" w:hAnsi="Book Antiqua"/>
          <w:sz w:val="24"/>
          <w:szCs w:val="24"/>
          <w:lang w:val="id-ID"/>
        </w:rPr>
        <w:t xml:space="preserve">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{"citationItems":[{"id":"ITEM-1","itemData":{"DOI":"10.32505/inspira.v3i1.4309","ISSN":"2722-7634","abstract":"Being a student is one of the phases of one’s development when entering the emerging adulthood phase. In the transition from adolescence to adulthood, people usually begin to experience problems in their lives. Those problems are generally related to the future. This study examines the role of religiosity and self-efficacy on a quarter-life crisis in Muslim college students. A total of 116 students from various universities in Padang participated in this study. Data were analyzed using multiple linear regression analysis. The results of this study indicate that the hypothesis is accepted. Religiosity and self-efficacy have a significant role in the quarter-life crisis. That means when religiosity and self-efficacy are high, the quarter-life crisis experienced by students decreases. This result has indicated by the calculated F value of 5.019 and a significance level of 0.008 (p&lt;0.05). The contribution of religiosity and self-efficacy to the quarter-life crisis is 8.2%. This study also found that the partial contribution of religiosity did not have a significant role in the quarter-life crisis. On the other hand, the contribution of self-efficacy partially remains significant to the quarter-life crisis.","author":[{"dropping-particle":"","family":"Ihsani","given":"Hanifa","non-dropping-particle":"","parse-names":false,"suffix":""},{"dropping-particle":"","family":"Utami","given":"Sabrina Etika","non-dropping-particle":"","parse-names":false,"suffix":""}],"container-title":"INSPIRA: Indonesian Journal of Psychological Research","id":"ITEM-1","issue":"1","issued":{"date-parts":[["2022"]]},"page":"31-37","title":"The role of religiosity and self-efficacy towards a quarter-life crisis in Muslim college students","type":"article-journal","volume":"3"},"uris":["http://www.mendeley.com/documents/?uuid=0dbe1135-a05a-45f9-80a0-69e568355650"]}],"mendeley":{"formattedCitation":"[1]","plainTextFormattedCitation":"[1]","previouslyFormattedCitation":"[1]"},"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[1]</w:t>
      </w:r>
      <w:r w:rsidR="008F614F" w:rsidRPr="004472FB">
        <w:rPr>
          <w:rFonts w:ascii="Book Antiqua" w:hAnsi="Book Antiqua"/>
          <w:sz w:val="24"/>
          <w:szCs w:val="24"/>
          <w:lang w:val="id-ID"/>
        </w:rPr>
        <w:fldChar w:fldCharType="end"/>
      </w:r>
      <w:r w:rsidRPr="004472FB">
        <w:rPr>
          <w:rFonts w:ascii="Book Antiqua" w:hAnsi="Book Antiqua"/>
          <w:sz w:val="24"/>
          <w:szCs w:val="24"/>
          <w:lang w:val="id-ID"/>
        </w:rPr>
        <w:t>. Pada fase ini, mahasiswa tidak hanya menjalani tugas-tugas perkembangan, tetapi juga menghadapi berbagai tuntutan baru yang muncul dari lingkungan perguruan tinggi. Dalam proses tersebut, mahasiswa dituntut untuk beradaptasi tidak hanya terhadap aspek ak</w:t>
      </w:r>
      <w:r w:rsidR="003A77B4" w:rsidRPr="004472FB">
        <w:rPr>
          <w:rFonts w:ascii="Book Antiqua" w:hAnsi="Book Antiqua"/>
          <w:sz w:val="24"/>
          <w:szCs w:val="24"/>
          <w:lang w:val="id-ID"/>
        </w:rPr>
        <w:t>a</w:t>
      </w:r>
      <w:r w:rsidRPr="004472FB">
        <w:rPr>
          <w:rFonts w:ascii="Book Antiqua" w:hAnsi="Book Antiqua"/>
          <w:sz w:val="24"/>
          <w:szCs w:val="24"/>
          <w:lang w:val="id-ID"/>
        </w:rPr>
        <w:t>demik, tetapi juga terhadap kondisi personal, sosial, dan emosional</w:t>
      </w:r>
      <w:r w:rsidR="009B4D7B" w:rsidRPr="004472FB">
        <w:rPr>
          <w:rFonts w:ascii="Book Antiqua" w:hAnsi="Book Antiqua"/>
          <w:sz w:val="24"/>
          <w:szCs w:val="24"/>
          <w:lang w:val="id-ID"/>
        </w:rPr>
        <w:t xml:space="preserve"> yang mereka alami</w:t>
      </w:r>
      <w:r w:rsidR="008F614F" w:rsidRPr="004472FB">
        <w:rPr>
          <w:rFonts w:ascii="Book Antiqua" w:hAnsi="Book Antiqua"/>
          <w:sz w:val="24"/>
          <w:szCs w:val="24"/>
          <w:lang w:val="id-ID"/>
        </w:rPr>
        <w:t xml:space="preserve">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{"citationItems":[{"id":"ITEM-1","itemData":{"DOI":"10.29210/145700","abstract":"Joining university for the first time is a challenging phase for first-year students. They are required to adapt not only to the academic context but to their personal, social, and emotional condition. The dynamics of college present a variety of challenges that arise as a result of the transition from high school to college. This study aims to analyze college adjustment of first-year students and the obstacles that arise from the academic, social, personal, and institutional dimensions. This study used mixed-method research. The sample was consisted of 235 first-year students of Al Azhar University (73.9% women) and filled out the Student Adaptation to College questionnaire. Qualitative data used purposive sampling to deepen the constraints felt by students in their first year. Semi structure interviews were conducted with 12 respondents to examine their experiences toward the first year of college. The results showed that 44.7% of first-year students had a low college adjustment level. Content analysis reveals that first-year students experienced varied academic, social, personal, and institutional problems. Therefore, the first-year student adapting process still needs attention from stakeholders.","author":[{"dropping-particle":"","family":"Rahmadani","given":"Anisa","non-dropping-particle":"","parse-names":false,"suffix":""},{"dropping-particle":"","family":"Rahmawati","given":"Yuliana Mukti","non-dropping-particle":"","parse-names":false,"suffix":""}],"container-title":"Jurnal Konseling dan Pendidikan","id":"ITEM-1","issue":"3","issued":{"date-parts":[["2020"]]},"page":"158-166","title":"Adaptasi akademik, sosial, personal, dan institusional: studi college adjustment terhadap mahasiswa tingkat pertama.","type":"article-journal","volume":"8"},"uris":["http://www.mendeley.com/documents/?uuid=615c2c12-9428-4ac4-9fc3-40554934924d"]}],"mendeley":{"formattedCitation":"[2]","plainTextFormattedCitation":"[2]","previouslyFormattedCitation":"[2]"},"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[2]</w:t>
      </w:r>
      <w:r w:rsidR="008F614F" w:rsidRPr="004472FB">
        <w:rPr>
          <w:rFonts w:ascii="Book Antiqua" w:hAnsi="Book Antiqua"/>
          <w:sz w:val="24"/>
          <w:szCs w:val="24"/>
          <w:lang w:val="id-ID"/>
        </w:rPr>
        <w:fldChar w:fldCharType="end"/>
      </w:r>
      <w:r w:rsidR="009B4D7B" w:rsidRPr="004472FB">
        <w:rPr>
          <w:rFonts w:ascii="Book Antiqua" w:hAnsi="Book Antiqua"/>
          <w:sz w:val="24"/>
          <w:szCs w:val="24"/>
          <w:lang w:val="id-ID"/>
        </w:rPr>
        <w:t xml:space="preserve">. Di samping itu, kehidupan di perguruan tinggi mengharuskan mahasiswa mampu menjalankan peran dan tanggung jawab akademik, membangun hubungan sosial, dan mempersiapkan diri menghadapi dunia kerja. Perubahan drastis dalam kehidupan sosial, seperti munculnya kesepian dan kebutuhan untuk menyesuaikan diri dengan lingkungan baru, turut menyebabkan gangguan mental emosional pada mahasiswa baru yang sedang membangun hubungan sosial dan identitas diri mereka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{"citationItems":[{"id":"ITEM-1","itemData":{"DOI":"https://doi.org/10.36989/didaktik.v11i02.6205","abstract":"This research endeavor sought to investigate the correlation between varying levels of loneliness and manifestations of emotional mental disorders among first-year college students. Loneliness is characterized as a hostile emotional state arising from subjective perceptions of insufficient social connections, often encountered by individuals during the transitional phase of adapting to the college environment. Emotional mental disorders, including but not limited to depression, anxiety, and stress, are prevalent among freshmen and can affect their social interactions, academic performance, and physical health. This study utilized a quantitative methodology through a cross-sectional study design, involving newly admitted students as participants. The findings of the investigation indicated that the intensity of loneliness was significantly and positively correlated with symptoms of emotional mental disorders. Loneliness experienced by first-year students may serve as a critical predictor for identifying the risk of developing emotional mental disorders in this demographic. These results underscore the need to prioritize the mental health of freshmen and highlight the imperative for interventions aimed at reducing loneliness to further reduce the incidence of emotional mental disorders. This study contributes an empirical framework that strengthens the existing literature regarding the impact of loneliness on the mental health of first-year college students, while simultaneously providing actionable insights for educational institutions to improve the psychological well-being of college students.","author":[{"dropping-particle":"","family":"Reza Endrata Parama Alkhalifi","given":"Dr Khodijah Dra.M.SI","non-dropping-particle":"","parse-names":false,"suffix":""}],"container-title":"Didaktik : Jurnal Ilmiah PGSD FKIP Universitas Mandiri","id":"ITEM-1","issue":"02","issued":{"date-parts":[["2025"]]},"page":"249-261","title":"HUBUNGAN TINGKAT KESEPIAN DENGAN GANGGUAN MENTAL EMOSIONAL PADA MAHASISWA BARU","type":"article-journal","volume":"11"},"uris":["http://www.mendeley.com/documents/?uuid=5a8ef4cb-9704-4167-8da1-0b368f101b83"]}],"mendeley":{"formattedCitation":"[3]","plainTextFormattedCitation":"[3]","previouslyFormattedCitation":"[3]"},"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[3]</w:t>
      </w:r>
      <w:r w:rsidR="008F614F" w:rsidRPr="004472FB">
        <w:rPr>
          <w:rFonts w:ascii="Book Antiqua" w:hAnsi="Book Antiqua"/>
          <w:sz w:val="24"/>
          <w:szCs w:val="24"/>
          <w:lang w:val="id-ID"/>
        </w:rPr>
        <w:fldChar w:fldCharType="end"/>
      </w:r>
      <w:r w:rsidR="009B4D7B" w:rsidRPr="004472FB">
        <w:rPr>
          <w:rFonts w:ascii="Book Antiqua" w:hAnsi="Book Antiqua"/>
          <w:sz w:val="24"/>
          <w:szCs w:val="24"/>
          <w:lang w:val="id-ID"/>
        </w:rPr>
        <w:t xml:space="preserve">. Akibatnya, berbagai perubahan dan tuntutan tersebut menjadikan kehidupan mahasiswa lebih kompleks dibandingkan pada jenjang pendidikan menengah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{"citationItems":[{"id":"ITEM-1","itemData":{"DOI":"10.56799/jceki.v3i6.5641","ISSN":"2828-5271","abstract":"The transition period from student to college student experiences various changes in the process, such as higher demands and workloads in college compared to high school. These demands can put pressure on new students in carrying out their academic activities. The inability of new students to cope with this pressure gives rise to academic stress. One of the factors that influences the occurrence of academic stress is the level of adjustment to college of new students. This study aims to determine the relationship between college adjustment and academic stress. The sample in this study consisted of 224 new students class of 2022, Faculty of Psychology, Makassar State University. Data collection was carried out using 2 research instruments, namely the academic stress scale and the college adjustment scale. Hypothesis testing was carried out using Karl Pearson's Product Moment method. The research results show that there is a negative relationship between college adjustment and academic stress with a correlation value of r =-0.514 and a significance value of 0.000 (p &lt; 0.05). This means that the higher the level of college adjustment, the lower the level of academic stress experienced by new students. The R square value in this study was 0.264, which shows that the contribution of college adjustment to the academic stress of new students is 26.4%. What this research means is that new students need to have a good level of adjustment to college in order to be able to face the demands and pressures of dealing with academic stress.","author":[{"dropping-particle":"","family":"Tresnadi","given":"Isabella Juli","non-dropping-particle":"","parse-names":false,"suffix":""},{"dropping-particle":"","family":"Ahmad","given":"","non-dropping-particle":"","parse-names":false,"suffix":""},{"dropping-particle":"","family":"Djalal","given":"Novita Maulidya","non-dropping-particle":"","parse-names":false,"suffix":""}],"container-title":"J-CEKI: Jurnal Cendekia Ilmiah","id":"ITEM-1","issue":"6","issued":{"date-parts":[["2024"]]},"page":"7742-7252","title":"Hubungan Antara College Adjusment dan Stres Akademik Pada Mahasiswa Baru Fakultas Psikologi Universitas Negeri Makassar","type":"article-journal","volume":"3"},"uris":["http://www.mendeley.com/documents/?uuid=e201d60d-ebbd-4c18-9f8d-c8b90b669dcb"]}],"mendeley":{"formattedCitation":"[4]","plainTextFormattedCitation":"[4]","previouslyFormattedCitation":"[4]"},"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[4]</w:t>
      </w:r>
      <w:r w:rsidR="008F614F" w:rsidRPr="004472FB">
        <w:rPr>
          <w:rFonts w:ascii="Book Antiqua" w:hAnsi="Book Antiqua"/>
          <w:sz w:val="24"/>
          <w:szCs w:val="24"/>
          <w:lang w:val="id-ID"/>
        </w:rPr>
        <w:fldChar w:fldCharType="end"/>
      </w:r>
      <w:r w:rsidR="007B72D0" w:rsidRPr="004472FB">
        <w:rPr>
          <w:rFonts w:ascii="Book Antiqua" w:hAnsi="Book Antiqua"/>
          <w:sz w:val="24"/>
          <w:szCs w:val="24"/>
          <w:lang w:val="id-ID"/>
        </w:rPr>
        <w:t>.</w:t>
      </w:r>
    </w:p>
    <w:p w14:paraId="3672BD59" w14:textId="0B33BFC8" w:rsidR="007F38C0" w:rsidRPr="004472FB" w:rsidRDefault="009B4D7B"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Kemampuan mahasiswa dalam beradaptasi dengan berbagai tuntutan kehidupan perkuliahan dapat mendukung proses pengembangan diri secara optimal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{"citationItems":[{"id":"ITEM-1","itemData":{"DOI":"10.29210/145700","abstract":"Joining university for the first time is a challenging phase for first-year students. They are required to adapt not only to the academic context but to their personal, social, and emotional condition. The dynamics of college present a variety of challenges that arise as a result of the transition from high school to college. This study aims to analyze college adjustment of first-year students and the obstacles that arise from the academic, social, personal, and institutional dimensions. This study used mixed-method research. The sample was consisted of 235 first-year students of Al Azhar University (73.9% women) and filled out the Student Adaptation to College questionnaire. Qualitative data used purposive sampling to deepen the constraints felt by students in their first year. Semi structure interviews were conducted with 12 respondents to examine their experiences toward the first year of college. The results showed that 44.7% of first-year students had a low college adjustment level. Content analysis reveals that first-year students experienced varied academic, social, personal, and institutional problems. Therefore, the first-year student adapting process still needs attention from stakeholders.","author":[{"dropping-particle":"","family":"Rahmadani","given":"Anisa","non-dropping-particle":"","parse-names":false,"suffix":""},{"dropping-particle":"","family":"Rahmawati","given":"Yuliana Mukti","non-dropping-particle":"","parse-names":false,"suffix":""}],"container-title":"Jurnal Konseling dan Pendidikan","id":"ITEM-1","issue":"3","issued":{"date-parts":[["2020"]]},"page":"158-166","title":"Adaptasi akademik, sosial, personal, dan institusional: studi college adjustment terhadap mahasiswa tingkat pertama.","type":"article-journal","volume":"8"},"uris":["http://www.mendeley.com/documents/?uuid=615c2c12-9428-4ac4-9fc3-40554934924d"]}],"mendeley":{"formattedCitation":"[2]","plainTextFormattedCitation":"[2]","previouslyFormattedCitation":"[2]"},"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[2]</w:t>
      </w:r>
      <w:r w:rsidR="008F614F" w:rsidRPr="004472FB">
        <w:rPr>
          <w:rFonts w:ascii="Book Antiqua" w:hAnsi="Book Antiqua"/>
          <w:sz w:val="24"/>
          <w:szCs w:val="24"/>
          <w:lang w:val="id-ID"/>
        </w:rPr>
        <w:fldChar w:fldCharType="end"/>
      </w:r>
      <w:r w:rsidRPr="004472FB">
        <w:rPr>
          <w:rFonts w:ascii="Book Antiqua" w:hAnsi="Book Antiqua"/>
          <w:sz w:val="24"/>
          <w:szCs w:val="24"/>
          <w:lang w:val="id-ID"/>
        </w:rPr>
        <w:t xml:space="preserve">. Sebaliknya, ketidakmampuan mahasiswa dalam menghadapi berbagai tantangan yang muncul selama menjalani kehidupan di perguruan tinggi dapat meningkatkan risiko munculnya tekanan psikologis serta kesulitan dalam melakukan penyesuaian diri yang berpengaruh pada kesehatan mental mahasiswa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{"citationItems":[{"id":"ITEM-1","itemData":{"DOI":"10.0.73.172/jips.v4i2.291108","author":[{"dropping-particle":"","family":"Kavindi, J., Basela, J., &amp; Martanus","given":"O.","non-dropping-particle":"","parse-names":false,"suffix":""}],"container-title":"Journal of Indonesian Psychological Science (Jips) Учредители: Maulana Malik Ibrahim State Islamic University","id":"ITEM-1","issue":"2","issued":{"date-parts":[["2024"]]},"page":"125-148","title":"). Understanding psychological distress and social adjustment among first-year university students.","type":"article-journal","volume":"04"},"uris":["http://www.mendeley.com/documents/?uuid=a2b5c126-d965-4d15-8a21-1c4106034cc4"]}],"mendeley":{"formattedCitation":"[5]","plainTextFormattedCitation":"[5]","previouslyFormattedCitation":"[5]"},"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[5]</w:t>
      </w:r>
      <w:r w:rsidR="008F614F" w:rsidRPr="004472FB">
        <w:rPr>
          <w:rFonts w:ascii="Book Antiqua" w:hAnsi="Book Antiqua"/>
          <w:sz w:val="24"/>
          <w:szCs w:val="24"/>
          <w:lang w:val="id-ID"/>
        </w:rPr>
        <w:fldChar w:fldCharType="end"/>
      </w:r>
      <w:r w:rsidRPr="004472FB">
        <w:rPr>
          <w:rFonts w:ascii="Book Antiqua" w:hAnsi="Book Antiqua"/>
          <w:sz w:val="24"/>
          <w:szCs w:val="24"/>
          <w:lang w:val="id-ID"/>
        </w:rPr>
        <w:t xml:space="preserve">. Tekanan psikologis yang terjadi secara terus-menerus berpotensi menurunkan kondisi kesehatan mental mahasiswa dan menghambat fungsi mereka dalam menjalankan aktivitas akademik maupun kehidupan sehari-hari. Akibatnya, mahasiswa berisiko mengalami penurunan performa akademik selama menjalani perkuliahan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{"citationItems":[{"id":"ITEM-1","itemData":{"DOI":"10.1002/mpr.1938","ISSN":"15570657","PMID":"36087035","abstract":"Objectives: Impaired mental health status tends to be associated with poor academic performance, but few prospective studies have examined the association between mental health and academic performance among undergraduates while considering the interacting roles of multiple lifestyle behaviors. Participants and Methods: A total of 1823 Japanese undergraduate students (67% men) were followed up for 4 years. Their mental health status was measured by the six-item Kessler Psychological Distress Scale (K6). We defined poor academic performance as a grade point average (GPA) &lt;2.0. Cox proportional hazards models were used to determine the relationship between the students' mental health status and the incident risk of poor academic performance. Results: Our analyses revealed that impaired mental health status in the first semester of university study significantly predicted an increased incident risk of poor academic performance during the overall undergraduate period. This association remained significant when the health lifestyle behaviors were adjusted, and the hazard ratio (95% confidence interval) for poor academic performance was 1.62 (1.18–2.23). This significant association disappeared in the low-lifestyle-behavior-risk group. Conclusion: Impaired mental health status in the first semester significantly predicts an increased incident risk of poor academic performance during the undergraduate period.","author":[{"dropping-particle":"","family":"Chu","given":"Tianshu","non-dropping-particle":"","parse-names":false,"suffix":""},{"dropping-particle":"","family":"Liu","given":"Xin","non-dropping-particle":"","parse-names":false,"suffix":""},{"dropping-particle":"","family":"Takayanagi","given":"Shigemi","non-dropping-particle":"","parse-names":false,"suffix":""},{"dropping-particle":"","family":"Matsushita","given":"Tomoko","non-dropping-particle":"","parse-names":false,"suffix":""},{"dropping-particle":"","family":"Kishimoto","given":"Hiro","non-dropping-particle":"","parse-names":false,"suffix":""}],"container-title":"International Journal of Methods in Psychiatric Research","id":"ITEM-1","issue":"1","issued":{"date-parts":[["2023"]]},"page":"1-8","title":"Association between mental health and academic performance among university undergraduates: The interacting role of lifestyle behaviors","type":"article-journal","volume":"32"},"uris":["http://www.mendeley.com/documents/?uuid=19739787-1b18-4725-89ea-45715348a099"]}],"mendeley":{"formattedCitation":"[6]","plainTextFormattedCitation":"[6]","previouslyFormattedCitation":"[6]"},"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[6]</w:t>
      </w:r>
      <w:r w:rsidR="008F614F" w:rsidRPr="004472FB">
        <w:rPr>
          <w:rFonts w:ascii="Book Antiqua" w:hAnsi="Book Antiqua"/>
          <w:sz w:val="24"/>
          <w:szCs w:val="24"/>
          <w:lang w:val="id-ID"/>
        </w:rPr>
        <w:fldChar w:fldCharType="end"/>
      </w:r>
      <w:r w:rsidRPr="004472FB">
        <w:rPr>
          <w:rFonts w:ascii="Book Antiqua" w:hAnsi="Book Antiqua"/>
          <w:sz w:val="24"/>
          <w:szCs w:val="24"/>
          <w:lang w:val="id-ID"/>
        </w:rPr>
        <w:t>.</w:t>
      </w:r>
    </w:p>
    <w:p w14:paraId="263EEE5E" w14:textId="7E89462D" w:rsidR="00FB7BB0" w:rsidRPr="004472FB" w:rsidRDefault="00FB7BB0" w:rsidP="004472FB">
      <w:pPr>
        <w:ind w:firstLine="709"/>
        <w:jc w:val="both"/>
        <w:rPr>
          <w:rFonts w:ascii="Book Antiqua" w:hAnsi="Book Antiqua"/>
          <w:sz w:val="24"/>
          <w:szCs w:val="24"/>
          <w:lang w:val="id-ID"/>
        </w:rPr>
      </w:pPr>
      <w:r w:rsidRPr="004472FB">
        <w:rPr>
          <w:rFonts w:ascii="Book Antiqua" w:hAnsi="Book Antiqua"/>
          <w:sz w:val="24"/>
          <w:szCs w:val="24"/>
          <w:lang w:val="id-ID"/>
        </w:rPr>
        <w:t>Salah satu gangguan kesehatan mental yang paling umum dialami oleh mahasiswa adalah kecemasan</w:t>
      </w:r>
      <w:r w:rsidR="008F614F" w:rsidRPr="004472FB">
        <w:rPr>
          <w:rFonts w:ascii="Book Antiqua" w:hAnsi="Book Antiqua"/>
          <w:sz w:val="24"/>
          <w:szCs w:val="24"/>
          <w:lang w:val="id-ID"/>
        </w:rPr>
        <w:t xml:space="preserve">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{"citationItems":[{"id":"ITEM-1","itemData":{"DOI":"10.1186/s12888-023-04645-8","ISSN":"1471244X","PMID":"37041470","abstract":"Background: Anxiety is a common mental health problem in the general population, and is associated with functional impairment and negative impacts upon quality of life. There has been increased concern about university students’ mental health in recent years, with a wide range of non-specific anxiety rates reported worldwide in undergraduate university students. We aimed to explore prevalence of non-specific anxiety in undergraduate university student populations. Methods: Four databases were searched to identify studies published between 1980 and 2020 which investigated prevalence of non-specific anxiety in undergraduate university students. Each study’s quality was appraised using a checklist. Sub-analyses were undertaken reflecting outcome measure utilized, course of study, location of study, and whether study was before or during the COVID-19 pandemic. Results: A total of 89 studies – representing approx. 130,090 students—met inclusion criteria. Eighty-three were included in meta-analysis, calculating a weighted mean prevalence of 39.65% (95% CI: 35.72%—43.58%) for non-specific anxiety. Prevalence from diagnostic interview studies ranged from 0.3%-20.8% 12-month prevalence. Prevalence varied by outcome measure used to assess non-specific anxiety, the type of course studied by sample, and by study location. In half the studies, being female was associated with being more likely to have higher non-specific anxiety scores and/or screening above thresholds. Few of the included studies met all quality appraisal criteria. Conclusion: The results suggest that approximately a third of undergraduate students are experiencing elevated levels of non-specific anxiety. Results from sub-analyses have identified some methodological issues that need consideration in appraising prevalence in this population.","author":[{"dropping-particle":"","family":"Ahmed","given":"Irtiqa","non-dropping-particle":"","parse-names":false,"suffix":""},{"dropping-particle":"","family":"Hazell","given":"Cassie M.","non-dropping-particle":"","parse-names":false,"suffix":""},{"dropping-particle":"","family":"Edwards","given":"Bethany","non-dropping-particle":"","parse-names":false,"suffix":""},{"dropping-particle":"","family":"Glazebrook","given":"Cris","non-dropping-particle":"","parse-names":false,"suffix":""},{"dropping-particle":"","family":"Davies","given":"E. Bethan","non-dropping-particle":"","parse-names":false,"suffix":""}],"container-title":"BMC Psychiatry","id":"ITEM-1","issue":"1","issued":{"date-parts":[["2023"]]},"publisher":"BioMed Central","title":"A systematic review and meta-analysis of studies exploring prevalence of non-specific anxiety in undergraduate university students","type":"article-journal","volume":"23"},"uris":["http://www.mendeley.com/documents/?uuid=1791be8d-604d-462b-b027-84e554055e09"]}],"mendeley":{"formattedCitation":"[7]","plainTextFormattedCitation":"[7]","previouslyFormattedCitation":"[7]"},"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[7]</w:t>
      </w:r>
      <w:r w:rsidR="008F614F" w:rsidRPr="004472FB">
        <w:rPr>
          <w:rFonts w:ascii="Book Antiqua" w:hAnsi="Book Antiqua"/>
          <w:sz w:val="24"/>
          <w:szCs w:val="24"/>
          <w:lang w:val="id-ID"/>
        </w:rPr>
        <w:fldChar w:fldCharType="end"/>
      </w:r>
      <w:r w:rsidR="008F614F" w:rsidRPr="004472FB">
        <w:rPr>
          <w:rFonts w:ascii="Book Antiqua" w:hAnsi="Book Antiqua"/>
          <w:sz w:val="24"/>
          <w:szCs w:val="24"/>
          <w:lang w:val="id-ID"/>
        </w:rPr>
        <w:t xml:space="preserve">. </w:t>
      </w:r>
      <w:r w:rsidRPr="004472FB">
        <w:rPr>
          <w:rFonts w:ascii="Book Antiqua" w:hAnsi="Book Antiqua"/>
          <w:sz w:val="24"/>
          <w:szCs w:val="24"/>
          <w:lang w:val="id-ID"/>
        </w:rPr>
        <w:t xml:space="preserve">Kecemasan merupakan respons emosional yang muncul sebagai antisipasi terhadap ketidakpastian di masa depan dan dapat dialami setiap individu dengan tingkat intensitas yang berbeda. Respons tersebut ditandai oleh perubahan pada aspek kognitif, afektif, dan perilaku sebagai bentuk antisipasi terhadap ancaman yang dipersepsikan </w:t>
      </w:r>
      <w:r w:rsidR="008F614F" w:rsidRPr="004472FB">
        <w:rPr>
          <w:rFonts w:ascii="Book Antiqua" w:hAnsi="Book Antiqua"/>
          <w:sz w:val="24"/>
          <w:szCs w:val="24"/>
          <w:lang w:val="id-ID"/>
        </w:rPr>
        <w:fldChar w:fldCharType="begin" w:fldLock="1"/>
      </w:r>
      <w:r w:rsidR="008F614F" w:rsidRPr="004472FB">
        <w:rPr>
          <w:rFonts w:ascii="Book Antiqua" w:hAnsi="Book Antiqua"/>
          <w:sz w:val="24"/>
          <w:szCs w:val="24"/>
          <w:lang w:val="id-ID"/>
        </w:rPr>
        <w:instrText>ADDIN CSL_CITATION {"citationItems":[{"id":"ITEM-1","itemData":{"DOI":"10.1038/nrn3524","ISSN":"1471003X","PMID":"23783199","abstract":"Uncertainty about a possible future threat disrupts our ability to avoid it or to mitigate its negative impact and thus results in anxiety. Here, we focus the broad literature on the neurobiology of anxiety through the lens of uncertainty. We identify five processes that are essential for adaptive anticipatory responses to future threat uncertainty and propose that alterations in the neural instantiation of these processes result in maladaptive responses to uncertainty in pathological anxiety. This framework has the potential to advance the classification, diagnosis and treatment of clinical anxiety. © 2013 Macmillan Publishers Limited. All rights reserved.","author":[{"dropping-particle":"","family":"Grupe","given":"Dan W.","non-dropping-particle":"","parse-names":false,"suffix":""},{"dropping-particle":"","family":"Nitschke","given":"Jack B.","non-dropping-particle":"","parse-names":false,"suffix":""}],"container-title":"Nature Reviews Neuroscience","id":"ITEM-1","issue":"7","issued":{"date-parts":[["2013"]]},"page":"488-501","title":"Uncertainty and anticipation in anxiety: An integrated neurobiological and psychological perspective","type":"article-journal","volume":"14"},"uris":["http://www.mendeley.com/documents/?uuid=a84afb8f-63da-42b5-8592-d7ddb286f2b5"]}],"mendeley":{"formattedCitation":"[8]","plainTextFormattedCitation":"[8]","previouslyFormattedCitation":"[8]"},"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[8]</w:t>
      </w:r>
      <w:r w:rsidR="008F614F" w:rsidRPr="004472FB">
        <w:rPr>
          <w:rFonts w:ascii="Book Antiqua" w:hAnsi="Book Antiqua"/>
          <w:sz w:val="24"/>
          <w:szCs w:val="24"/>
          <w:lang w:val="id-ID"/>
        </w:rPr>
        <w:fldChar w:fldCharType="end"/>
      </w:r>
      <w:r w:rsidR="008F614F" w:rsidRPr="004472FB">
        <w:rPr>
          <w:rFonts w:ascii="Book Antiqua" w:hAnsi="Book Antiqua"/>
          <w:sz w:val="24"/>
          <w:szCs w:val="24"/>
          <w:lang w:val="id-ID"/>
        </w:rPr>
        <w:t>.</w:t>
      </w:r>
      <w:r w:rsidRPr="004472FB">
        <w:rPr>
          <w:rFonts w:ascii="Book Antiqua" w:hAnsi="Book Antiqua"/>
          <w:sz w:val="24"/>
          <w:szCs w:val="24"/>
          <w:lang w:val="id-ID"/>
        </w:rPr>
        <w:t xml:space="preserve"> Pada mahasiswa, kecemasan dipengaruhi oleh berbagai faktor, seperti tuntutan akademik, penyesuaian terhadap lingkungan perkuliahan, kekhawatiran mengenai masa depan, tekanan finansial, dan permasalahan dalam hubungan interpersonal </w:t>
      </w:r>
      <w:r w:rsidR="008F614F"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{"citationItems":[{"id":"ITEM-1","itemData":{"DOI":"10.3934/publichealth.2021004","ISSN":"23278994","PMID":"33575406","abstract":"It is well-known that prevalence of stress, anxiety, and depression is high among university undergraduate students in developed and developing countries. Students entering university are from different socioeconomic background, which can bring a variety of mental health risk factors. The aim of this review was to investigate present literatures to identify risk factors associated with stress, anxiety, and depression among university undergraduate students in developed and developing countries. I identified and critically evaluated forty-one articles about risk factors associated with mental health of undergraduate university students in developed and developing countries from 2000 to 2020 according to the inclusion criteria. Selected papers were analyzed for risk factor themes. Six different themes of risk factors were identified: psychological, academic, biological, lifestyle, social and financial. Different risk factor groups can have different degree of impact on students’ stress, anxiety, and depression. Each theme of risk factor was further divided into multiple subthemes. Risk factors associated with stress, depression and anxiety among university students should be identified early in university to provide them with additional mental health support and prevent exacerbation of risk factors.","author":[{"dropping-particle":"","family":"Mofatteh","given":"Mohammad","non-dropping-particle":"","parse-names":false,"suffix":""}],"container-title":"AIMS Public Health","id":"ITEM-1","issue":"1","issued":{"date-parts":[["2020"]]},"page":"36-65","title":"Risk factors associated with stress, anxiety, and depression among university undergraduate students","type":"article-journal","volume":"8"},"uris":["http://www.mendeley.com/documents/?uuid=e07d4293-0d9e-42b9-bdbc-124b4e838fb5"]}],"mendeley":{"formattedCitation":"[9]","plainTextFormattedCitation":"[9]","previouslyFormattedCitation":"[9]"},"properties":{"noteIndex":0},"schema":"https://github.com/citation-style-language/schema/raw/master/csl-citation.json"}</w:instrText>
      </w:r>
      <w:r w:rsidR="008F614F" w:rsidRPr="004472FB">
        <w:rPr>
          <w:rFonts w:ascii="Book Antiqua" w:hAnsi="Book Antiqua"/>
          <w:sz w:val="24"/>
          <w:szCs w:val="24"/>
          <w:lang w:val="id-ID"/>
        </w:rPr>
        <w:fldChar w:fldCharType="separate"/>
      </w:r>
      <w:r w:rsidR="008F614F" w:rsidRPr="004472FB">
        <w:rPr>
          <w:rFonts w:ascii="Book Antiqua" w:hAnsi="Book Antiqua"/>
          <w:noProof/>
          <w:sz w:val="24"/>
          <w:szCs w:val="24"/>
          <w:lang w:val="id-ID"/>
        </w:rPr>
        <w:t>[9]</w:t>
      </w:r>
      <w:r w:rsidR="008F614F" w:rsidRPr="004472FB">
        <w:rPr>
          <w:rFonts w:ascii="Book Antiqua" w:hAnsi="Book Antiqua"/>
          <w:sz w:val="24"/>
          <w:szCs w:val="24"/>
          <w:lang w:val="id-ID"/>
        </w:rPr>
        <w:fldChar w:fldCharType="end"/>
      </w:r>
      <w:r w:rsidRPr="004472FB">
        <w:rPr>
          <w:rFonts w:ascii="Book Antiqua" w:hAnsi="Book Antiqua"/>
          <w:sz w:val="24"/>
          <w:szCs w:val="24"/>
          <w:lang w:val="id-ID"/>
        </w:rPr>
        <w:t xml:space="preserve">. Apabila berlangsung secara berlebihan, menetap, dan sulit dikendalikan, kecemasan dapat </w:t>
      </w:r>
      <w:r w:rsidRPr="004472FB">
        <w:rPr>
          <w:rFonts w:ascii="Book Antiqua" w:hAnsi="Book Antiqua"/>
          <w:sz w:val="24"/>
          <w:szCs w:val="24"/>
          <w:lang w:val="id-ID"/>
        </w:rPr>
        <w:lastRenderedPageBreak/>
        <w:t xml:space="preserve">menghambat aktivitas mahasiswa, bahkan kondisi tersebut juga dapat mengurangi kepuasan hidup, mengganggu fungsi psikologis maupun aktivitas sehari-hari, serta menurunkan kesejahteraan mental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{"citationItems":[{"id":"ITEM-1","itemData":{"DOI":"10.1186/s40359-024-02177-8","ISBN":"4035902402177","ISSN":"20507283","PMID":"39574182","abstract":"The present study examined the psychometric properties of the Short Warwick-Edinburgh Mental Well-being Scale (SWEMWBS). A total of 742 Italian participants (84.6% female), with a mean age of 33.08 years (SD = 12.44) took part in a cross-sectional survey study. Confirmatory factor analysis and Rasch analysis were used to examine the psychometric properties. The CFA showed that the SWEMWBS had a unidimensional structure with robust psychometric properties and showed good internal consistencies (Cronbach’s alpha 0.88; McDonald’s omega 0.91). Overall, most items showed no substantial differential item functioning in the Rasch analysis, except for Item 7, indicating that female participants reported more difficulty with this item than the male participants. The SWEMWBS was positively associated with life satisfaction and negativity associated with general psychological distress (i.e., anxiety, stress, and depression). In sum, the SWEMWBS showed robust psychometric properties capable of assessing positive aspects of mental health and well-being among Italian-speaking adults.","author":[{"dropping-particle":"","family":"Soraci","given":"Paolo","non-dropping-particle":"","parse-names":false,"suffix":""},{"dropping-particle":"","family":"Bevan","given":"Nadia","non-dropping-particle":"","parse-names":false,"suffix":""},{"dropping-particle":"","family":"Griffiths","given":"Mark D.","non-dropping-particle":"","parse-names":false,"suffix":""},{"dropping-particle":"","family":"Pisanti","given":"Renato","non-dropping-particle":"","parse-names":false,"suffix":""},{"dropping-particle":"","family":"Servidio","given":"Rocco","non-dropping-particle":"","parse-names":false,"suffix":""},{"dropping-particle":"","family":"Ferrari","given":"Ambra","non-dropping-particle":"","parse-names":false,"suffix":""},{"dropping-particle":"","family":"Bernardo","given":"Carla","non-dropping-particle":"Di","parse-names":false,"suffix":""},{"dropping-particle":"","family":"Pakpour","given":"Amir H.","non-dropping-particle":"","parse-names":false,"suffix":""}],"container-title":"BMC Psychology","id":"ITEM-1","issue":"1","issued":{"date-parts":[["2024"]]},"page":"680","publisher":"BioMed Central","title":"The Short Warwick-Edinburgh Mental Well-being Scale (SWEMWBS): an Italian validation using confirmatory factor analysis and Rasch analysis","type":"article-journal","volume":"12"},"uris":["http://www.mendeley.com/documents/?uuid=34890d53-9409-49f7-8314-388abf98a7b2"]}],"mendeley":{"formattedCitation":"[10]","plainTextFormattedCitation":"[10]","previouslyFormattedCitation":"[10]"},"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[10]</w:t>
      </w:r>
      <w:r w:rsidR="00165B16" w:rsidRPr="004472FB">
        <w:rPr>
          <w:rFonts w:ascii="Book Antiqua" w:hAnsi="Book Antiqua"/>
          <w:sz w:val="24"/>
          <w:szCs w:val="24"/>
          <w:lang w:val="id-ID"/>
        </w:rPr>
        <w:fldChar w:fldCharType="end"/>
      </w:r>
      <w:r w:rsidR="00165B16" w:rsidRPr="004472FB">
        <w:rPr>
          <w:rFonts w:ascii="Book Antiqua" w:hAnsi="Book Antiqua"/>
          <w:sz w:val="24"/>
          <w:szCs w:val="24"/>
          <w:lang w:val="id-ID"/>
        </w:rPr>
        <w:t>.</w:t>
      </w:r>
    </w:p>
    <w:p w14:paraId="1FAA2FAD" w14:textId="6D1F9B36" w:rsidR="00FB7BB0" w:rsidRPr="004472FB" w:rsidRDefault="00FB7BB0" w:rsidP="004472FB">
      <w:pPr>
        <w:ind w:firstLine="709"/>
        <w:jc w:val="both"/>
        <w:rPr>
          <w:rFonts w:ascii="Book Antiqua" w:hAnsi="Book Antiqua"/>
          <w:sz w:val="24"/>
          <w:szCs w:val="24"/>
          <w:lang w:val="id-ID"/>
        </w:rPr>
      </w:pPr>
      <w:r w:rsidRPr="004472FB">
        <w:rPr>
          <w:rFonts w:ascii="Book Antiqua" w:hAnsi="Book Antiqua"/>
          <w:sz w:val="24"/>
          <w:szCs w:val="24"/>
          <w:lang w:val="id-ID"/>
        </w:rPr>
        <w:t>Mahasiswa yang mengalami kecemasan berisiko mengalami penurunan prestasi akademik, mengalami hambatan dalam menjalin hubungan sosial maupun interpersonal, dan memiliki tingkat kepuasan hidup yang lebih rendah</w:t>
      </w:r>
      <w:r w:rsidR="00165B16"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{"citationItems":[{"id":"ITEM-1","itemData":{"DOI":"10.3389/fpubh.2022.958884","ISSN":"22962565","PMID":"36249213","abstract":"Depression, anxiety, and stress are ranked among the top mental health concerns faced by university students in recent times perpetuated by the proliferation of digitalization. Thus, this study was performed to assess the relationship between depression, anxiety, stress, and satisfaction with life, with interpersonal needs (perceived burdensomeness and thwarted belongingness) as moderators. A cross-sectional study using a convenient sampling method was conducted among 430 Malaysian private university students (Mean aged= 20.73 years; SD = 1.26 years). A self-administered questionnaire comprising the Depression, Anxiety and Stress Scale (DASS-21), Satisfaction with Life Scale, and Interpersonal Needs Questionnaire were used. Students who experienced lower depression and anxiety reported higher satisfaction with life under the influence of low perceived burdensomeness. Perceived burdensomeness, when coupled with depression (β = 0.76, p &lt; 0.01) and anxiety (β = 0.79, p &lt; 0.01), contributed 15.8% of variance in satisfaction with life. Students who experienced stress reported higher satisfaction with life under the influence of high thwarted belongingness (β = 0.73, p &lt; 0.01), contributing 17.3% of the variance in satisfaction with life. For university students who experienced depression and anxiety symptoms, mental health practitioners may need to be cognizant of how to support students' education and management of their perceived burdensomeness perceptions.","author":[{"dropping-particle":"","family":"Ooi","given":"Pei Boon","non-dropping-particle":"","parse-names":false,"suffix":""},{"dropping-particle":"","family":"Khor","given":"Kuan Siew","non-dropping-particle":"","parse-names":false,"suffix":""},{"dropping-particle":"","family":"Tan","given":"Choe Chai","non-dropping-particle":"","parse-names":false,"suffix":""},{"dropping-particle":"","family":"Ong","given":"Derek Lai Teik","non-dropping-particle":"","parse-names":false,"suffix":""}],"container-title":"Frontiers in Public Health","id":"ITEM-1","issued":{"date-parts":[["2022"]]},"title":"Depression, anxiety, stress, and satisfaction with life: Moderating role of interpersonal needs among university students","type":"article-journal","volume":"10"},"uris":["http://www.mendeley.com/documents/?uuid=6d3b9a4e-ce16-4d4b-859f-4242ac176c6d"]}],"mendeley":{"formattedCitation":"[11]","plainTextFormattedCitation":"[11]","previouslyFormattedCitation":"[11]"},"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[11]</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xml:space="preserve">. Selain itu, mahasiswa dengan tingkat kecemasan yang tinggi cenderung memiliki kepercayaan diri yang lebih rendah terhadap kemampuannya dalam mengelola emosi, sehingga regulasi emosi menjadi kurang efektif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{"citationItems":[{"id":"ITEM-1","itemData":{"DOI":"10.1016/j.paid.2021.110680","ISSN":"01918869","abstract":"This study examined the mediating effect of regulatory emotional self-efficacy and the moderating effect of meaning in life on the relationship between social anxiety and subjective well-being among Chinese college students. Nine hundred and eight Chinese students (Mage = 20.14, SD = 1.71; 49% males) completed self-reported questionnaires regarding social anxiety, regulatory emotional self-efficacy, meaning in life, and subjective well-being. Structural equation modeling (SEM) was used to determine the relation between social anxiety and subjective well-being and the moderated mediation model. The results revealed that regulatory emotional self-efficacy fully mediated the link between social anxiety and college students' subjective well-being. College students' meaning in life moderated the associations between social anxiety and college students' regulatory emotional self-efficacy and between regulatory emotional self-efficacy and subjective well-being. Particularly, the link between social anxiety and regulatory emotional self-efficacy was only significant for those with lower meaning in life. The association between regulatory emotional self-efficacy and subjective well-being was more robust for those with higher meaning in life. This study identified the critical factors associated with subjective well-being; it supplies empirical support for existing theories and provides practical implications for interventions aiming to improve Chinese college students' subjective well-being.","author":[{"dropping-particle":"","family":"Ye","given":"Baojuan","non-dropping-particle":"","parse-names":false,"suffix":""},{"dropping-particle":"","family":"Li","given":"Lu","non-dropping-particle":"","parse-names":false,"suffix":""},{"dropping-particle":"","family":"Wang","given":"Peiyi","non-dropping-particle":"","parse-names":false,"suffix":""},{"dropping-particle":"","family":"Wang","given":"Ruining","non-dropping-particle":"","parse-names":false,"suffix":""},{"dropping-particle":"","family":"Liu","given":"Mingfan","non-dropping-particle":"","parse-names":false,"suffix":""},{"dropping-particle":"","family":"Wang","given":"Xinqiang","non-dropping-particle":"","parse-names":false,"suffix":""},{"dropping-particle":"","family":"Yang","given":"Qiang","non-dropping-particle":"","parse-names":false,"suffix":""}],"container-title":"Personality and Individual Differences","id":"ITEM-1","issued":{"date-parts":[["2021"]]},"page":"110680","title":"Social anxiety and subjective well-being among Chinese college students: A moderated mediation model","type":"article-journal","volume":"175"},"uris":["http://www.mendeley.com/documents/?uuid=140c4e22-835c-4fe6-b0cf-05e1c5a97644"]}],"mendeley":{"formattedCitation":"[12]","plainTextFormattedCitation":"[12]","previouslyFormattedCitation":"[12]"},"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[12]</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xml:space="preserve">. Dampak dari tingginya tingkat kecemasan pada mahasiswa mempunyai implikasi besar, tidak hanya terhadap kondisi psikologis, tetapi juga berdampak pada kesejahteraan secara keseluruhan, perkembangan diri, pencapaian akademik, dan kualitas hidup mahasiswa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{"citationItems":[{"id":"ITEM-1","itemData":{"DOI":"10.30653/001.202041.114","ISSN":"2541-2779","abstract":"The study aims to measure the level of achievement of students' psychological well-being which affects all aspects of their lives, especially during the transition period. The study used a descriptive quantitative method with a sample of 275 active students of the guidance and counseling study program at the University of Muhammadiyah Tasikmalaya. The results of the study showed that students had achieved psychological well-being in the high and medium categories. This means that most students have achieved an optimal level of psychological well-being characterized by having self-acceptance, autonomy or independence, being able to establish positive relationships with others, having good mastery of the environment, having a purpose in life, and being able to develop themselves in a better direction. The factors that influence its achievement are discussed in the article and have implications for guidance and counseling services in college counseling.","author":[{"dropping-particle":"","family":"Rahimsyah","given":"Anandha Putri","non-dropping-particle":"","parse-names":false,"suffix":""},{"dropping-particle":"","family":"Muhajirin","given":"Muhammad","non-dropping-particle":"","parse-names":false,"suffix":""}],"container-title":"Indonesian Journal of Educational Counseling","id":"ITEM-1","issue":"1","issued":{"date-parts":[["2025"]]},"page":"85-96","title":"Tingkat Kesejahteraan Psikologis Mahasiswa Program Studi Bimbingan dan Konseling Universitas Muhammadiyah Tasikmalaya","type":"article-journal","volume":"9"},"uris":["http://www.mendeley.com/documents/?uuid=6d23c601-037d-49b5-9221-869c309af5d7"]}],"mendeley":{"formattedCitation":"[13]","plainTextFormattedCitation":"[13]","previouslyFormattedCitation":"[13]"},"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[13]</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xml:space="preserve">. Oleh karena itu, apabila berbagai tantangan dan tuntutan yang dihadapi mahasiswa tidak dikelola dengan baik, kondisi tersebut dapat memengaruhi performa akademik dan kesejahteraan mental mahasiswa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{"citationItems":[{"id":"ITEM-1","itemData":{"DOI":"10.30653/001.202041.114","ISSN":"2541-2779","abstract":"This research was conducted due to students' inability to cope with difficulties in the educational process. The study aims to provide an overview of the academic hardiness levels of students at Universitas Muhammadiyah Tasikmalaya. The research employed a quantitative descriptive approach. The population of the study comprised students of Universitas Muhammadiyah Tasikmalaya, with a sample size of 128 students (n=128). The instrument used was the academic hardiness scale. Validity testing was conducted using the Rasch model with the help of Winsteps software. Reliability testing was carried out using Cronbach's alpha instrument with the assistance of Winsteps software employing the Rasch model. The results showed that the items met the validity criteria of Outfit Mean Square (MNSQ): 0.5 &lt; MNSQ &lt; 1.5, Outfit Z-Standard (ZSTD): -2.0 &lt; ZSTD &lt; +2.0, and Point Measure Correlation (Pt Mean Corr): 0.4 &lt; Pt Measure Corr &lt; 0.85. The reliability test result was 0.97, categorized as excellent. The findings revealed that 30 students (23%) were in the high category, 98 students (77%) were in the medium category, and no students were in the low category.","author":[{"dropping-particle":"","family":"Muhajirin","given":"Muhammad","non-dropping-particle":"","parse-names":false,"suffix":""},{"dropping-particle":"","family":"Rahimsyah","given":"Anandha Putri","non-dropping-particle":"","parse-names":false,"suffix":""}],"container-title":"Indonesian Journal of Educational Counseling","id":"ITEM-1","issue":"1","issued":{"date-parts":[["2025"]]},"page":"97-102","title":"Analisis Profil Ketangguhan Akademik Mahasiswa Universitas Muhammadiyah Tasikmalaya","type":"article-journal","volume":"9"},"uris":["http://www.mendeley.com/documents/?uuid=a0e92341-025c-4e1e-b815-8b6822e87fe4"]}],"mendeley":{"formattedCitation":"[14]","plainTextFormattedCitation":"[14]","previouslyFormattedCitation":"[14]"},"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[14]</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w:t>
      </w:r>
    </w:p>
    <w:p w14:paraId="3A0FE272" w14:textId="5726990F" w:rsidR="00E77F25" w:rsidRPr="004472FB" w:rsidRDefault="003F2EF5" w:rsidP="004472FB">
      <w:pPr>
        <w:ind w:firstLine="709"/>
        <w:jc w:val="both"/>
        <w:rPr>
          <w:rFonts w:ascii="Book Antiqua" w:hAnsi="Book Antiqua"/>
          <w:sz w:val="24"/>
          <w:szCs w:val="24"/>
          <w:lang w:val="id-ID"/>
        </w:rPr>
      </w:pPr>
      <w:r w:rsidRPr="004472FB">
        <w:rPr>
          <w:rFonts w:ascii="Book Antiqua" w:hAnsi="Book Antiqua"/>
          <w:sz w:val="24"/>
          <w:szCs w:val="24"/>
          <w:lang w:val="id-ID"/>
        </w:rPr>
        <w:t>Kesejahteraan mental merupakan suatu kondisi kesehatan mental positif yang tidak hanya ditandai oleh ketiadaan gangguan psikologis, tetapi juga oleh hadirnya perasaan positif dan kemampuan individu untuk berfungsi secara optimal dalam kehidupan sehari-hari</w:t>
      </w:r>
      <w:r w:rsidR="00165B16"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{"citationItems":[{"id":"ITEM-1","itemData":{"DOI":"10.1186/1477-7525-7-15","ISSN":"14777525","PMID":"19228398","abstract":"Background: 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 Methods: The model was applied to data collected from 779 respondents in Wave 12 (Autumn 2006) of the Scottish Health Education Population Survey. Respondents were aged 16-74 (average 41.9) yrs. Results: Initial fit to model expectations was poor. The items 'I've been feeling good about myself', 'I've been interested in new things' and 'I've been feeling cheerful' all showed significant misfit to model expectations, and were deleted. This led to a marginal improvement in fit to the model. After further analysis, more items were deleted and a strict unidimensional seven item scale (the Short Warwick Edinburgh Mental Well-Being Scale (SWEMWBS)) was resolved. Many items deleted because of misfit with model expectations showed considerable bias for gender. Two retained items also demonstrated bias for gender but, at the scale level, cancelled out. One further retained item 'I've been feeling optimistic about the future' showed bias for age. The correlation between the 14 item and 7 item versions was 0.954. Given fit to the Rasch model, and strict unidimensionality, SWEMWBS provides an interval scale estimate of mental well-being. Conclusion: A short 7 item version of WEMWBS was found to satisfy the strict unidimensionality expectations of the Rasch model, and be largely free of bias. This scale, SWEMWBS, provides a raw score-interval scale transformation for use in parametric procedures. In terms of face validity, SWEMWBS presents a more restricted view of mental well-being than the 14 item WEMWBS, with most items representing aspects of psychological and eudemonic well-being, and few covering hedonic well-being or affect. However, robust measurement properties combined with brevity make SWEMWBS preferable to WEMWBS at present for monitoring mental well-being in populations. Where face validity is an issue there remain arguments for continuing to collect data on the full 14 item WEMWBS. © 2009 Stewart-Brown et al; licensee BioMed Central Ltd.","author":[{"dropping-particle":"","family":"Stewart-Brown","given":"Sarah","non-dropping-particle":"","parse-names":false,"suffix":""},{"dropping-particle":"","family":"Tennant","given":"Alan","non-dropping-particle":"","parse-names":false,"suffix":""},{"dropping-particle":"","family":"Tennant","given":"Ruth","non-dropping-particle":"","parse-names":false,"suffix":""},{"dropping-particle":"","family":"Platt","given":"Stephen","non-dropping-particle":"","parse-names":false,"suffix":""},{"dropping-particle":"","family":"Parkinson","given":"Jane","non-dropping-particle":"","parse-names":false,"suffix":""},{"dropping-particle":"","family":"Weich","given":"Scott","non-dropping-particle":"","parse-names":false,"suffix":""}],"container-title":"Health and Quality of Life Outcomes","id":"ITEM-1","issue":"1","issued":{"date-parts":[["2009"]]},"page":"15","title":"Internal construct validity of the Warwick-Edinburgh Mental Well-Being Scale (WEMWBS): A Rasch analysis using data from the Scottish Health Education Population Survey","type":"article-journal","volume":"7"},"uris":["http://www.mendeley.com/documents/?uuid=3303a2b3-0c86-4c88-aaf2-302539200e2a"]}],"mendeley":{"formattedCitation":"[15]","plainTextFormattedCitation":"[15]","previouslyFormattedCitation":"[15]"},"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[15]</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xml:space="preserve">. Dengan kata lain, kesejahteraan merupakan kemampuan individu untuk berfungsi dengan baik dalam kehidupan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{"citationItems":[{"id":"ITEM-1","itemData":{"DOI":"10.5964/ejop.v13i1.1163","ISSN":"18410413","abstract":"The present research aimed at studying the psychometric properties of the Mental Health Continuum–Short Form (MHC–SF; Keyes, 2005) in a sample of 1,300 Argentinean adults (50% males; 50% females). Their mean age was 40.28 years old (SD = 13.59). The MHC–SF is a 14 item test that assesses three components (i.e., emotional, social, and psychological) of well-being. Convergent and divergent evidence of construct validity was assessed by conducting confirmatory factor analysis, cross-validation, factorial invariance, and correlations with external criteria. Internal consistency was studied using Cronbach’s alphas. Results indicated an adequate fit of a three-dimensional model. This structure was also confirmed, and was invariant throughout sex and age. The emotional well-being scores converged with life satisfaction and positive affect measures; the psychological well-being scale had a positive association with the presence of meaning in life; and the social well-being scores showed a positive and strong correlation with an external measure of well-being. Also, all scores were negatively associated with negative affect, search of meaning in life, and presence of depression symptoms. Internal consistency was.89 for the MHC–SF. Furthermore, the findings supported the two - continua model of mental health.","author":[{"dropping-particle":"","family":"Lupano Perugini","given":"María Laura","non-dropping-particle":"","parse-names":false,"suffix":""},{"dropping-particle":"","family":"la Iglesia","given":"Guadalupe","non-dropping-particle":"de","parse-names":false,"suffix":""},{"dropping-particle":"","family":"Castro Solano","given":"Alejandro","non-dropping-particle":"","parse-names":false,"suffix":""},{"dropping-particle":"","family":"Keyes","given":"Corey Lee M.","non-dropping-particle":"","parse-names":false,"suffix":""}],"container-title":"Europe's Journal of Psychology","id":"ITEM-1","issue":"1","issued":{"date-parts":[["2017"]]},"page":"93-108","title":"The mental health continuum–short form (MHC–SF) in the argentinean context: Confirmatory factor analysis and measurement invariance","type":"article-journal","volume":"13"},"uris":["http://www.mendeley.com/documents/?uuid=a252791a-0696-4849-9ed7-52e1455fe55e"]}],"mendeley":{"formattedCitation":"[16]","plainTextFormattedCitation":"[16]","previouslyFormattedCitation":"[16]"},"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[16]</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xml:space="preserve">. Oleh karena itu, individu dapat mengalami tingkat kesejahteraan mental yang berbeda meskipun sama-sama mengalami masalah psikologis. </w:t>
      </w:r>
      <w:r w:rsidR="00F86A8A" w:rsidRPr="004472FB">
        <w:rPr>
          <w:rFonts w:ascii="Book Antiqua" w:hAnsi="Book Antiqua"/>
          <w:sz w:val="24"/>
          <w:szCs w:val="24"/>
          <w:lang w:val="id-ID"/>
        </w:rPr>
        <w:t>Aspek</w:t>
      </w:r>
      <w:r w:rsidRPr="004472FB">
        <w:rPr>
          <w:rFonts w:ascii="Book Antiqua" w:hAnsi="Book Antiqua"/>
          <w:sz w:val="24"/>
          <w:szCs w:val="24"/>
          <w:lang w:val="id-ID"/>
        </w:rPr>
        <w:t xml:space="preserve"> kesejahteraan mental </w:t>
      </w:r>
      <w:r w:rsidR="00F86A8A" w:rsidRPr="004472FB">
        <w:rPr>
          <w:rFonts w:ascii="Book Antiqua" w:hAnsi="Book Antiqua"/>
          <w:sz w:val="24"/>
          <w:szCs w:val="24"/>
          <w:lang w:val="id-ID"/>
        </w:rPr>
        <w:t xml:space="preserve">dibagi </w:t>
      </w:r>
      <w:r w:rsidRPr="004472FB">
        <w:rPr>
          <w:rFonts w:ascii="Book Antiqua" w:hAnsi="Book Antiqua"/>
          <w:sz w:val="24"/>
          <w:szCs w:val="24"/>
          <w:lang w:val="id-ID"/>
        </w:rPr>
        <w:t>menjadi dua aspek utama, yaitu kesejahteraan emosional (</w:t>
      </w:r>
      <w:r w:rsidRPr="004472FB">
        <w:rPr>
          <w:rFonts w:ascii="Book Antiqua" w:hAnsi="Book Antiqua"/>
          <w:i/>
          <w:iCs/>
          <w:sz w:val="24"/>
          <w:szCs w:val="24"/>
          <w:lang w:val="id-ID"/>
        </w:rPr>
        <w:t>hedonic</w:t>
      </w:r>
      <w:r w:rsidRPr="004472FB">
        <w:rPr>
          <w:rFonts w:ascii="Book Antiqua" w:hAnsi="Book Antiqua"/>
          <w:sz w:val="24"/>
          <w:szCs w:val="24"/>
          <w:lang w:val="id-ID"/>
        </w:rPr>
        <w:t>) yang mencakup perasaan positif yang berkelanjutan, dan kesejahteraan psikologis (</w:t>
      </w:r>
      <w:r w:rsidRPr="004472FB">
        <w:rPr>
          <w:rFonts w:ascii="Book Antiqua" w:hAnsi="Book Antiqua"/>
          <w:i/>
          <w:iCs/>
          <w:sz w:val="24"/>
          <w:szCs w:val="24"/>
          <w:lang w:val="id-ID"/>
        </w:rPr>
        <w:t>eudaimonic</w:t>
      </w:r>
      <w:r w:rsidRPr="004472FB">
        <w:rPr>
          <w:rFonts w:ascii="Book Antiqua" w:hAnsi="Book Antiqua"/>
          <w:sz w:val="24"/>
          <w:szCs w:val="24"/>
          <w:lang w:val="id-ID"/>
        </w:rPr>
        <w:t>) berkaitan dengan fungsi psikologis, penerimaan diri, hubungan interpersonal, dan aktualisasi diri</w:t>
      </w:r>
      <w:r w:rsidR="00F86A8A"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{"citationItems":[{"id":"ITEM-1","itemData":{"DOI":"10.1186/1477-7525-5-63","ISSN":"14777525","PMID":"18042300","abstract":"Background: 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 Methods: WEMWBS was developed by an expert panel drawing on current academic literature, qualitative research with focus groups, and psychometric testing of an existing scale. It was validated on a student and representative population sample. Content validity was assessed by reviewing the frequency of complete responses and the distribution of responses to each item. Confirmatory factor analysis was used to test the hypothesis that the scale measured a single construct. Internal consistency was assessed using Cronbach's alpha. Criterion validity was explored in terms of correlations between WEMWBS and other scales and by testing whether the scale discriminated between population groups in line with pre-specified hypotheses. Test-retest reliability was assessed at one week using intra-class correlation coefficients. Susceptibility to bias was measured using the Balanced Inventory of Desired Responding. Results: WEMWBS showed good content validity. Confirmatory factor analysis supported the single factor hypothesis. A Cronbach's alpha score of 0.89 (student sample) and 0.91 (population sample) suggests some item redundancy in the scale. WEMWBS showed high correlations with other mental health and well-being scales and lower correlations with scales measuring overall health. Its distribution was near normal and the scale did not show ceiling effects in a population sample. It discriminated between population groups in a way that is largely consistent with the results of other population surveys. Test-retest reliability at one week was high (0.83). Social desirability bias was lower or similar to that of other comparable scales. Conclusion: WEMWBS is a measure of mental well-being focusing entirely on positive aspects of mental health. As a short and psychometrically robust scale, with no ceiling effects in a population sample, it offers promise as a tool for monitoring mental well-being at a population level. Whilst WEMWBS should appeal to those evaluating mental…","author":[{"dropping-particle":"","family":"Tennant","given":"Ruth","non-dropping-particle":"","parse-names":false,"suffix":""},{"dropping-particle":"","family":"Hiller","given":"Louise","non-dropping-particle":"","parse-names":false,"suffix":""},{"dropping-particle":"","family":"Fishwick","given":"Ruth","non-dropping-particle":"","parse-names":false,"suffix":""},{"dropping-particle":"","family":"Platt","given":"Stephen","non-dropping-particle":"","parse-names":false,"suffix":""},{"dropping-particle":"","family":"Joseph","given":"Stephen","non-dropping-particle":"","parse-names":false,"suffix":""},{"dropping-particle":"","family":"Weich","given":"Scott","non-dropping-particle":"","parse-names":false,"suffix":""},{"dropping-particle":"","family":"Parkinson","given":"Jane","non-dropping-particle":"","parse-names":false,"suffix":""},{"dropping-particle":"","family":"Secker","given":"Jenny","non-dropping-particle":"","parse-names":false,"suffix":""},{"dropping-particle":"","family":"Stewart-Brown","given":"Sarah","non-dropping-particle":"","parse-names":false,"suffix":""}],"container-title":"Health and Quality of Life Outcomes","id":"ITEM-1","issue":"1","issued":{"date-parts":[["2007"]]},"page":"63","title":"The Warwick-Dinburgh mental well-being scale (WEMWBS): Development and UK validation","type":"article-journal","volume":"5"},"uris":["http://www.mendeley.com/documents/?uuid=d7a41fb1-e6d9-4739-bb64-b7cd0433523d"]}],"mendeley":{"formattedCitation":"[17]","plainTextFormattedCitation":"[17]","previouslyFormattedCitation":"[17]"},"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[17]</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w:t>
      </w:r>
    </w:p>
    <w:p w14:paraId="569A1F60" w14:textId="79F6CF3B" w:rsidR="003F2EF5" w:rsidRPr="004472FB" w:rsidRDefault="003F2EF5" w:rsidP="004472FB">
      <w:pPr>
        <w:ind w:firstLine="709"/>
        <w:jc w:val="both"/>
        <w:rPr>
          <w:rFonts w:ascii="Book Antiqua" w:hAnsi="Book Antiqua"/>
          <w:sz w:val="24"/>
          <w:szCs w:val="24"/>
          <w:lang w:val="id-ID"/>
        </w:rPr>
      </w:pPr>
      <w:r w:rsidRPr="004472FB">
        <w:rPr>
          <w:rFonts w:ascii="Book Antiqua" w:hAnsi="Book Antiqua"/>
          <w:sz w:val="24"/>
          <w:szCs w:val="24"/>
          <w:lang w:val="id-ID"/>
        </w:rPr>
        <w:t>Dikalangan mahasiswa, kesejahteraan mental</w:t>
      </w:r>
      <w:r w:rsidR="004657A5" w:rsidRPr="004472FB">
        <w:rPr>
          <w:rFonts w:ascii="Book Antiqua" w:hAnsi="Book Antiqua"/>
          <w:sz w:val="24"/>
          <w:szCs w:val="24"/>
          <w:lang w:val="id-ID"/>
        </w:rPr>
        <w:t xml:space="preserve"> dipengaruhi oleh berbagai faktor yang umum dialami selama menjalani perkuliahan, seperti beban akademik, tekanan akibat tugas, dan proses penyesuaian diri terhadap lingkungan kampus. Selain itu, karakteristik lingkungan akademik, budaya kampus, dan jumlah populasi mahasiswa juga berpengaruh terhadap variasi tingkat kesejahteraan mental mahasiswa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{"citationItems":[{"id":"ITEM-1","itemData":{"DOI":"10.37251/jee.v7i1.2432","ISSN":"2716-4160","abstract":"Purpose of the study: Mental well-being is a crucial component of university students’ academic functioning and personal development. However, empirical evidence describing students’ mental well-being levels, particularly in non-Western contexts, remains limited. This study aims to describe the level of mental well-being among university students at two higher education institutions in Indonesia.\r Methodology: This study employed a descriptive quantitative design. A total of 449 undergraduate students were selected using proportionate stratified random sampling from two universities with different student population characteristics. Data were collected using the Indonesian-adapted version of the Warwick–Edinburgh Mental Well-Being Scale (WEMWBS). Descriptive statistical analysis was conducted to examine the distribution of students’ mental well-being levels.\r Main Findings: These findings highlight the importance of strengthening preventive and promotive mental health initiatives in higher education settings. Campus-based interventions, such as mindfulness programs and counseling services, may play a strategic role in supporting students’ transition from moderate mental well-being toward flourishing.\r Novelty/Originality of this study: This study provides empirical insight into students’ mental well-being profiles within the Indonesian higher education context and offers practical implications for the development of guidance and counseling services.","author":[{"dropping-particle":"","family":"Rahimsyah","given":"Anandha Putri","non-dropping-particle":"","parse-names":false,"suffix":""},{"dropping-particle":"","family":"Muhajirin","given":"Muhammad","non-dropping-particle":"","parse-names":false,"suffix":""},{"dropping-particle":"","family":"Rachmani","given":"Nizza Nadya","non-dropping-particle":"","parse-names":false,"suffix":""},{"dropping-particle":"","family":"Bariyyah","given":"Khairul","non-dropping-particle":"","parse-names":false,"suffix":""},{"dropping-particle":"","family":"Sugara","given":"Gian Sugiana","non-dropping-particle":"","parse-names":false,"suffix":""},{"dropping-particle":"","family":"Aprilya","given":"Tasya","non-dropping-particle":"","parse-names":false,"suffix":""},{"dropping-particle":"","family":"Zulfa","given":"Nuraini Latifa","non-dropping-particle":"","parse-names":false,"suffix":""}],"container-title":"Journal Evaluation in Education (JEE)","id":"ITEM-1","issue":"1","issued":{"date-parts":[["2026"]]},"page":"316-323","title":"Understanding Mental Well-Being Among University Students in Indonesia: A Descriptive Quantitative Analysis","type":"article-journal","volume":"7"},"uris":["http://www.mendeley.com/documents/?uuid=3c2b3d9e-f1de-4acf-859c-54e58fdebc4d"]}],"mendeley":{"formattedCitation":"[18]","plainTextFormattedCitation":"[18]","previouslyFormattedCitation":"[18]"},"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[18]</w:t>
      </w:r>
      <w:r w:rsidR="00165B16" w:rsidRPr="004472FB">
        <w:rPr>
          <w:rFonts w:ascii="Book Antiqua" w:hAnsi="Book Antiqua"/>
          <w:sz w:val="24"/>
          <w:szCs w:val="24"/>
          <w:lang w:val="id-ID"/>
        </w:rPr>
        <w:fldChar w:fldCharType="end"/>
      </w:r>
      <w:r w:rsidR="004657A5" w:rsidRPr="004472FB">
        <w:rPr>
          <w:rFonts w:ascii="Book Antiqua" w:hAnsi="Book Antiqua"/>
          <w:sz w:val="24"/>
          <w:szCs w:val="24"/>
          <w:lang w:val="id-ID"/>
        </w:rPr>
        <w:t xml:space="preserve">. Kondisi kesejahteraan mental yang rendah dapat memengaruhi fungsi kognitif, seperti kemampuan berkonsentrasi, belajar, dan mengingat, sehingga dapat berdampak negatif terhadap performa akademik maupun produktivitas kerja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{"citationItems":[{"id":"ITEM-1","itemData":{"DOI":"10.1186/s40359-024-02177-8","ISBN":"4035902402177","ISSN":"20507283","PMID":"39574182","abstract":"The present study examined the psychometric properties of the Short Warwick-Edinburgh Mental Well-being Scale (SWEMWBS). A total of 742 Italian participants (84.6% female), with a mean age of 33.08 years (SD = 12.44) took part in a cross-sectional survey study. Confirmatory factor analysis and Rasch analysis were used to examine the psychometric properties. The CFA showed that the SWEMWBS had a unidimensional structure with robust psychometric properties and showed good internal consistencies (Cronbach’s alpha 0.88; McDonald’s omega 0.91). Overall, most items showed no substantial differential item functioning in the Rasch analysis, except for Item 7, indicating that female participants reported more difficulty with this item than the male participants. The SWEMWBS was positively associated with life satisfaction and negativity associated with general psychological distress (i.e., anxiety, stress, and depression). In sum, the SWEMWBS showed robust psychometric properties capable of assessing positive aspects of mental health and well-being among Italian-speaking adults.","author":[{"dropping-particle":"","family":"Soraci","given":"Paolo","non-dropping-particle":"","parse-names":false,"suffix":""},{"dropping-particle":"","family":"Bevan","given":"Nadia","non-dropping-particle":"","parse-names":false,"suffix":""},{"dropping-particle":"","family":"Griffiths","given":"Mark D.","non-dropping-particle":"","parse-names":false,"suffix":""},{"dropping-particle":"","family":"Pisanti","given":"Renato","non-dropping-particle":"","parse-names":false,"suffix":""},{"dropping-particle":"","family":"Servidio","given":"Rocco","non-dropping-particle":"","parse-names":false,"suffix":""},{"dropping-particle":"","family":"Ferrari","given":"Ambra","non-dropping-particle":"","parse-names":false,"suffix":""},{"dropping-particle":"","family":"Bernardo","given":"Carla","non-dropping-particle":"Di","parse-names":false,"suffix":""},{"dropping-particle":"","family":"Pakpour","given":"Amir H.","non-dropping-particle":"","parse-names":false,"suffix":""}],"container-title":"BMC Psychology","id":"ITEM-1","issue":"1","issued":{"date-parts":[["2024"]]},"page":"680","publisher":"BioMed Central","title":"The Short Warwick-Edinburgh Mental Well-being Scale (SWEMWBS): an Italian validation using confirmatory factor analysis and Rasch analysis","type":"article-journal","volume":"12"},"uris":["http://www.mendeley.com/documents/?uuid=34890d53-9409-49f7-8314-388abf98a7b2"]}],"mendeley":{"formattedCitation":"[10]","plainTextFormattedCitation":"[10]","previouslyFormattedCitation":"[10]"},"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[10]</w:t>
      </w:r>
      <w:r w:rsidR="00165B16" w:rsidRPr="004472FB">
        <w:rPr>
          <w:rFonts w:ascii="Book Antiqua" w:hAnsi="Book Antiqua"/>
          <w:sz w:val="24"/>
          <w:szCs w:val="24"/>
          <w:lang w:val="id-ID"/>
        </w:rPr>
        <w:fldChar w:fldCharType="end"/>
      </w:r>
      <w:r w:rsidR="004657A5" w:rsidRPr="004472FB">
        <w:rPr>
          <w:rFonts w:ascii="Book Antiqua" w:hAnsi="Book Antiqua"/>
          <w:sz w:val="24"/>
          <w:szCs w:val="24"/>
          <w:lang w:val="id-ID"/>
        </w:rPr>
        <w:t xml:space="preserve">. Sebaliknya, kesejahteraan mental yang baik memberikan dampak positif terhadap motivasi belajar, prestasi akademik, dan kepuasan hidup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{"citationItems":[{"id":"ITEM-1","itemData":{"DOI":"10.47470/0016-9900-2022-101-1-77-82","ISBN":"0000000221","ISSN":"24120650","abstract":"Introduction. According to modern literature data, the quality of life of medical students is significantly lower than in the general population. Poor quality of life affects academic performance and can lead to rapid burnout. In this regard, an urgent problem is to study the practical significance of the impact of academic performance on the quality of life of students enrolled in medical universities, to improve their level of professional training. Materials and methods. With the help of the SF-36 questionnaire, 290 2nd year students of the pediatric faculty of the Medical University were examined. Students' performance was assessed based on the results of an objective structured clinical examination (OSСE) and an average examination grade for 1-3 semesters. All students are divided into three groups - best, mediocres and worst. Results. For successful students, a high level of emotional state did not interfere with the performance of daily activities. The total physical component of health was the highest among average students. Students with poor academic performance had a minimal total mental health component, which indicated that they had depressive states and bad mood. It was found that the deterioration of academic performance led to a violation of the performance of daily activities, a sharp limitation of social contacts and the level of communication. A high level of academic performance correlated with low vital activity, increasing fatigue and disadaptation. Limitations. This study is limited to a selection of students studying at medical universities and undergoing an assessment of the quality of education with the help of OSCE. Conclusion. The quality of life, health status and academic performance of students are interdependent indicators. The use of questionnaires will reveal the reasons for the decline in working capacity associated with the deterioration in the quality of life.","author":[{"dropping-particle":"","family":"Gumbatova","given":"Zarnigar F.","non-dropping-particle":"","parse-names":false,"suffix":""},{"dropping-particle":"","family":"Aminova","given":"Alfiya I.","non-dropping-particle":"","parse-names":false,"suffix":""},{"dropping-particle":"","family":"Eryushova","given":"Tatyana Yu","non-dropping-particle":"","parse-names":false,"suffix":""},{"dropping-particle":"","family":"Guseva","given":"Susanna A.","non-dropping-particle":"","parse-names":false,"suffix":""},{"dropping-particle":"","family":"Belova","given":"Ekaterina I.","non-dropping-particle":"","parse-names":false,"suffix":""},{"dropping-particle":"","family":"Pestova","given":"Albina S.","non-dropping-particle":"","parse-names":false,"suffix":""},{"dropping-particle":"","family":"Manina","given":"Marina A.","non-dropping-particle":"","parse-names":false,"suffix":""}],"container-title":"HYGIENE OF CHILDREN AND ADOLESCENTS","id":"ITEM-1","issue":"1","issued":{"date-parts":[["2022"]]},"page":"77-82","title":"The relationship between the quality of life of medical students and their academic performance","type":"article-journal","volume":"101"},"uris":["http://www.mendeley.com/documents/?uuid=2c196b91-0427-4f67-8ee6-a25cbc098fb9"]}],"mendeley":{"formattedCitation":"[19]","plainTextFormattedCitation":"[19]","previouslyFormattedCitation":"[19]"},"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[19]</w:t>
      </w:r>
      <w:r w:rsidR="00165B16" w:rsidRPr="004472FB">
        <w:rPr>
          <w:rFonts w:ascii="Book Antiqua" w:hAnsi="Book Antiqua"/>
          <w:sz w:val="24"/>
          <w:szCs w:val="24"/>
          <w:lang w:val="id-ID"/>
        </w:rPr>
        <w:fldChar w:fldCharType="end"/>
      </w:r>
      <w:r w:rsidR="004657A5" w:rsidRPr="004472FB">
        <w:rPr>
          <w:rFonts w:ascii="Book Antiqua" w:hAnsi="Book Antiqua"/>
          <w:sz w:val="24"/>
          <w:szCs w:val="24"/>
          <w:lang w:val="id-ID"/>
        </w:rPr>
        <w:t>. Selain itu, gangguan kesehatan mental, seperti depresi, kecemasan, dan stress juga dapat berdampak pada menurunnya produktivitas dan kesejahteraan individu</w:t>
      </w:r>
      <w:r w:rsidR="00165B16"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{"citationItems":[{"id":"ITEM-1","itemData":{"DOI":"10.31602/jmbkan.v10i1.13505","abstract":"This research discusses the significance of mental health with a focus on the impact of suicide and the symptoms of mental health disorders. It also investigates the relationship between poor mental health and suicide rates, presenting empirical findings that illustrate the psychological, social and well-being impacts on individuals. In addition, this study identified symptoms common to mental health disorders, and provided an in-depth understanding of the manifestations of conditions such as depression, anxiety, and social distress. The knowledge gained from this research can serve as a basis for the development of more effective interventions and policies to improve the overall mental health of the community. The research method used was literature review. Results obtained of this study are efforts to reduce the social stigma surrounding mental health issues that are closely tied to the mental health issues that are closely tied to the impact of suicide and symptoms on mental health.","author":[{"dropping-particle":"","family":"Setiawan, N. S., &amp; Setiawan","given":"I","non-dropping-particle":"","parse-names":false,"suffix":""}],"container-title":"Jurnal Mahasiswa BK An-Nur: Berbeda, Bermakna, Mulia","id":"ITEM-1","issue":"1","issued":{"date-parts":[["2024"]]},"page":"266-275","title":"Mengenal pentingnya kesehatan mental: Dampak bunuh diri dan gejala gangguan kesehatan mental","type":"article-journal","volume":"10"},"uris":["http://www.mendeley.com/documents/?uuid=76340349-21b4-4980-8e91-9b75fed27b0e"]}],"mendeley":{"formattedCitation":"[20]","plainTextFormattedCitation":"[20]","previouslyFormattedCitation":"[20]"},"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[20]</w:t>
      </w:r>
      <w:r w:rsidR="00165B16" w:rsidRPr="004472FB">
        <w:rPr>
          <w:rFonts w:ascii="Book Antiqua" w:hAnsi="Book Antiqua"/>
          <w:sz w:val="24"/>
          <w:szCs w:val="24"/>
          <w:lang w:val="id-ID"/>
        </w:rPr>
        <w:fldChar w:fldCharType="end"/>
      </w:r>
      <w:r w:rsidR="004657A5" w:rsidRPr="004472FB">
        <w:rPr>
          <w:rFonts w:ascii="Book Antiqua" w:hAnsi="Book Antiqua"/>
          <w:sz w:val="24"/>
          <w:szCs w:val="24"/>
          <w:lang w:val="id-ID"/>
        </w:rPr>
        <w:t>.</w:t>
      </w:r>
    </w:p>
    <w:p w14:paraId="60FD651F" w14:textId="75CB3D5E" w:rsidR="004657A5" w:rsidRPr="004472FB" w:rsidRDefault="004657A5"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Penelitian terdahulu umumnya berfokus pada pengujian hubungan antara kecemasan dan kesejahteraan mental pada mahasiswa. Hasil penelitian menunjukkan bahwa kesejahteraan mental memiliki hubungan negatif dengan tingkat kecemasan, dan hubungan positif dengan kepuasan hidup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{"citationItems":[{"id":"ITEM-1","itemData":{"DOI":"10.1186/s40359-024-02177-8","ISBN":"4035902402177","ISSN":"20507283","PMID":"39574182","abstract":"The present study examined the psychometric properties of the Short Warwick-Edinburgh Mental Well-being Scale (SWEMWBS). A total of 742 Italian participants (84.6% female), with a mean age of 33.08 years (SD = 12.44) took part in a cross-sectional survey study. Confirmatory factor analysis and Rasch analysis were used to examine the psychometric properties. The CFA showed that the SWEMWBS had a unidimensional structure with robust psychometric properties and showed good internal consistencies (Cronbach’s alpha 0.88; McDonald’s omega 0.91). Overall, most items showed no substantial differential item functioning in the Rasch analysis, except for Item 7, indicating that female participants reported more difficulty with this item than the male participants. The SWEMWBS was positively associated with life satisfaction and negativity associated with general psychological distress (i.e., anxiety, stress, and depression). In sum, the SWEMWBS showed robust psychometric properties capable of assessing positive aspects of mental health and well-being among Italian-speaking adults.","author":[{"dropping-particle":"","family":"Soraci","given":"Paolo","non-dropping-particle":"","parse-names":false,"suffix":""},{"dropping-particle":"","family":"Bevan","given":"Nadia","non-dropping-particle":"","parse-names":false,"suffix":""},{"dropping-particle":"","family":"Griffiths","given":"Mark D.","non-dropping-particle":"","parse-names":false,"suffix":""},{"dropping-particle":"","family":"Pisanti","given":"Renato","non-dropping-particle":"","parse-names":false,"suffix":""},{"dropping-particle":"","family":"Servidio","given":"Rocco","non-dropping-particle":"","parse-names":false,"suffix":""},{"dropping-particle":"","family":"Ferrari","given":"Ambra","non-dropping-particle":"","parse-names":false,"suffix":""},{"dropping-particle":"","family":"Bernardo","given":"Carla","non-dropping-particle":"Di","parse-names":false,"suffix":""},{"dropping-particle":"","family":"Pakpour","given":"Amir H.","non-dropping-particle":"","parse-names":false,"suffix":""}],"container-title":"BMC Psychology","id":"ITEM-1","issue":"1","issued":{"date-parts":[["2024"]]},"page":"680","publisher":"BioMed Central","title":"The Short Warwick-Edinburgh Mental Well-being Scale (SWEMWBS): an Italian validation using confirmatory factor analysis and Rasch analysis","type":"article-journal","volume":"12"},"uris":["http://www.mendeley.com/documents/?uuid=34890d53-9409-49f7-8314-388abf98a7b2"]}],"mendeley":{"formattedCitation":"[10]","plainTextFormattedCitation":"[10]","previouslyFormattedCitation":"[10]"},"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[10]</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w:t>
      </w:r>
      <w:r w:rsidR="00CE79D9" w:rsidRPr="004472FB">
        <w:rPr>
          <w:rFonts w:ascii="Book Antiqua" w:hAnsi="Book Antiqua"/>
          <w:sz w:val="24"/>
          <w:szCs w:val="24"/>
          <w:lang w:val="id-ID"/>
        </w:rPr>
        <w:t xml:space="preserve"> S</w:t>
      </w:r>
      <w:r w:rsidRPr="004472FB">
        <w:rPr>
          <w:rFonts w:ascii="Book Antiqua" w:hAnsi="Book Antiqua"/>
          <w:sz w:val="24"/>
          <w:szCs w:val="24"/>
          <w:lang w:val="id-ID"/>
        </w:rPr>
        <w:t xml:space="preserve">tres, kecemasan, dan depresi merupakan faktor utama yang berkontribusi terhadap </w:t>
      </w:r>
      <w:r w:rsidRPr="004472FB">
        <w:rPr>
          <w:rFonts w:ascii="Book Antiqua" w:hAnsi="Book Antiqua"/>
          <w:sz w:val="24"/>
          <w:szCs w:val="24"/>
          <w:lang w:val="id-ID"/>
        </w:rPr>
        <w:lastRenderedPageBreak/>
        <w:t>rendahnya kesejahteraan mental</w:t>
      </w:r>
      <w:r w:rsidR="00CE79D9"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{"citationItems":[{"id":"ITEM-1","itemData":{"DOI":"10.1186/s12889-025-24231-9","ISSN":"14712458","PMID":"40908489","abstract":"Background: Questionnaires that assess psychological functioning are 21 limited by their subjective nature, while HRV can serve as a more objective 22 (but also complex) index of such functioning. This study aims to validate sex 23 differences in college students' mental well-being using psychological scales 24 and HRV, and to investigate the correlation between psychological scales 25 and HRV for each sex. Method: 240 college students (120 males and 120 females, aged 18-22 27 years) were recruited via cluster sampling from 1st Sept. to 1st Nov. 2023 at 28 Zhejiang University in China. Mental well-being was assessed using the 29 Warwick-Edinburgh Mental Well-being Scale (WEMWBS) and the 21-item 30 version of the Depression, Anxiety, and Stress Scale (DASS-21), while HRV 31 was measured at rest using a Polar H7 heart rate monitor. Results: Comparative analyses showed that female students had higher 33 anxiety scores (DASS-21) (p = 0.033, Partial η² = 0.019) and lower mental 34 well-being scores (WEMWBS) (p = 0.047, Partial η² = 0.016) compared to 35 male students. Additionally, female students exhibited lower HRV across 36 multiple indices, including SDNN (p &lt; 0.001, Partial η² = 0.158), RMSSD (p 37 &lt; 0.001, Partial η² = 0.064), pNN50 (p &lt; 0.001, Partial η² = 0.045), and 38 absolute high-frequency (HF) power (p = 0.003, Partial η² = 0.038). 39 Correlational analyses further revealed that only female students' anxiety 40 scores were negatively associated with RMSSD (r = -0.245, p = 0.008), 41 absolute HF power (r = -0.261, p = 0.005), and normalized HF power (r = - 42 0.262, p = 0.005). Conclusions: Female university students exhibited poorer mental well-being 44 than male students, as indicated by both subjective and objective measures, with anxiety being particularly prominent. Combining psychological scales 46 with measures of HRV (RMSSD and HF power) may improve anxiety 47 assessment in female university students.","author":[{"dropping-particle":"","family":"Zhu","given":"Yang","non-dropping-particle":"","parse-names":false,"suffix":""},{"dropping-particle":"","family":"Liang","given":"Wen Ming","non-dropping-particle":"","parse-names":false,"suffix":""},{"dropping-particle":"","family":"Jiang","given":"Kai","non-dropping-particle":"","parse-names":false,"suffix":""},{"dropping-particle":"","family":"Truskauskaitė","given":"Inga","non-dropping-particle":"","parse-names":false,"suffix":""},{"dropping-particle":"","family":"Griškova-Bulanova","given":"Inga","non-dropping-particle":"","parse-names":false,"suffix":""},{"dropping-particle":"","family":"Bai","given":"Zhenmin","non-dropping-particle":"","parse-names":false,"suffix":""},{"dropping-particle":"","family":"Rukšėnas","given":"Osvaldas","non-dropping-particle":"","parse-names":false,"suffix":""}],"container-title":"BMC Public Health","id":"ITEM-1","issue":"1","issued":{"date-parts":[["2025"]]},"page":"3038","title":"Mental well-being of college students: focus on sex differences and psycho physiological indices","type":"article-journal","volume":"25"},"uris":["http://www.mendeley.com/documents/?uuid=b390f08e-f7a7-4138-8184-6a77fbdfdc04"]}],"mendeley":{"formattedCitation":"[21]","plainTextFormattedCitation":"[21]","previouslyFormattedCitation":"[21]"},"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[21]</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Hasil penelitian menunjukkan bahwa penurunan tingkat kecemasan beriringan dengan peningkatan kesejahteraan mental, yang ditandai oleh berbagai perubahan psikologis ke arah yang lebih positif</w:t>
      </w:r>
      <w:r w:rsidR="00B96B7A"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165B16" w:rsidRPr="004472FB">
        <w:rPr>
          <w:rFonts w:ascii="Book Antiqua" w:hAnsi="Book Antiqua"/>
          <w:sz w:val="24"/>
          <w:szCs w:val="24"/>
          <w:lang w:val="id-ID"/>
        </w:rPr>
        <w:instrText>ADDIN CSL_CITATION {"citationItems":[{"id":"ITEM-1","itemData":{"DOI":"10.1145/3699761","ISSN":"24749567","abstract":"Mental health concerns are prevalent among college students, highlighting the need for effective interventions that promote self-awareness and holistic well-being. MindScape explores a novel approach to AI-powered journaling by integrating passively collected behavioral patterns such as conversational engagement, sleep, and location with Large Language Models (LLMs). This integration creates a highly personalized and context-aware journaling experience, enhancing self-awareness and well-being by embedding behavioral intelligence into AI. We present an 8-week exploratory study with 20 college students, demonstrating the MindScape app's efficacy in enhancing positive affect (7%), reducing negative affect (11%), loneliness (6%), and anxiety and depression, with a significant week-over-week decrease in PHQ-4 scores (-0.25 coefficient). The study highlights the advantages of contextual AI journaling, with participants particularly appreciating the tailored prompts and insights provided by the MindScape app. Our analysis also includes a comparison of responses to AI-driven contextual versus generic prompts, participant feedback insights, and proposed strategies for leveraging contextual AI journaling to improve well-being on college campuses. By showcasing the potential of contextual AI journaling to support mental health, we provide a foundation for further investigation into the effects of contextual AI journaling on mental health and well-being.","author":[{"dropping-particle":"","family":"Nepal","given":"Subigya","non-dropping-particle":"","parse-names":false,"suffix":""},{"dropping-particle":"","family":"Pillai","given":"Arvind","non-dropping-particle":"","parse-names":false,"suffix":""},{"dropping-particle":"","family":"Campbell","given":"William","non-dropping-particle":"","parse-names":false,"suffix":""},{"dropping-particle":"","family":"Massachi","given":"Talie","non-dropping-particle":"","parse-names":false,"suffix":""},{"dropping-particle":"V.","family":"Heinz","given":"Michael","non-dropping-particle":"","parse-names":false,"suffix":""},{"dropping-particle":"","family":"Kunwar","given":"Ashmita","non-dropping-particle":"","parse-names":false,"suffix":""},{"dropping-particle":"","family":"Choi","given":"Eunsol Soul","non-dropping-particle":"","parse-names":false,"suffix":""},{"dropping-particle":"","family":"Xu","given":"Xuhai","non-dropping-particle":"","parse-names":false,"suffix":""},{"dropping-particle":"","family":"Kuc","given":"Joanna","non-dropping-particle":"","parse-names":false,"suffix":""},{"dropping-particle":"","family":"Huckins","given":"Jeremy F.","non-dropping-particle":"","parse-names":false,"suffix":""},{"dropping-particle":"","family":"Holden","given":"Jason","non-dropping-particle":"","parse-names":false,"suffix":""},{"dropping-particle":"","family":"Preum","given":"Sarah M.","non-dropping-particle":"","parse-names":false,"suffix":""},{"dropping-particle":"","family":"Depp","given":"Colin","non-dropping-particle":"","parse-names":false,"suffix":""},{"dropping-particle":"","family":"Jacobson","given":"Nicholas","non-dropping-particle":"","parse-names":false,"suffix":""},{"dropping-particle":"","family":"Czerwinski","given":"Mary P.","non-dropping-particle":"","parse-names":false,"suffix":""},{"dropping-particle":"","family":"Granholm","given":"Eric","non-dropping-particle":"","parse-names":false,"suffix":""},{"dropping-particle":"","family":"Campbell","given":"Andrew T.","non-dropping-particle":"","parse-names":false,"suffix":""}],"container-title":"Proceedings of the ACM on Interactive, Mobile, Wearable and Ubiquitous Technologies","id":"ITEM-1","issue":"4","issued":{"date-parts":[["2024"]]},"page":"1-44","title":"MindScape Study: Integrating LLM and Behavioral Sensing for Personalized AI-Driven Journaling Experiences","type":"article-journal","volume":"8"},"uris":["http://www.mendeley.com/documents/?uuid=12218acb-0348-4b8b-baea-b0b0aa2bf078"]}],"mendeley":{"formattedCitation":"[22]","plainTextFormattedCitation":"[22]","previouslyFormattedCitation":"[22]"},"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[22]</w:t>
      </w:r>
      <w:r w:rsidR="00165B16" w:rsidRPr="004472FB">
        <w:rPr>
          <w:rFonts w:ascii="Book Antiqua" w:hAnsi="Book Antiqua"/>
          <w:sz w:val="24"/>
          <w:szCs w:val="24"/>
          <w:lang w:val="id-ID"/>
        </w:rPr>
        <w:fldChar w:fldCharType="end"/>
      </w:r>
      <w:r w:rsidRPr="004472FB">
        <w:rPr>
          <w:rFonts w:ascii="Book Antiqua" w:hAnsi="Book Antiqua"/>
          <w:sz w:val="24"/>
          <w:szCs w:val="24"/>
          <w:lang w:val="id-ID"/>
        </w:rPr>
        <w:t>. Selain itu, pe</w:t>
      </w:r>
      <w:r w:rsidR="003A77B4" w:rsidRPr="004472FB">
        <w:rPr>
          <w:rFonts w:ascii="Book Antiqua" w:hAnsi="Book Antiqua"/>
          <w:sz w:val="24"/>
          <w:szCs w:val="24"/>
          <w:lang w:val="id-ID"/>
        </w:rPr>
        <w:t>n</w:t>
      </w:r>
      <w:r w:rsidRPr="004472FB">
        <w:rPr>
          <w:rFonts w:ascii="Book Antiqua" w:hAnsi="Book Antiqua"/>
          <w:sz w:val="24"/>
          <w:szCs w:val="24"/>
          <w:lang w:val="id-ID"/>
        </w:rPr>
        <w:t xml:space="preserve">elitian terdahulu cenderung menggunakan konstruk kesehatan mental atau kesejahteraan psikologis untuk mengkaji kondisi mahasiswa yang mengalami kecemasan. Akan tetapi, </w:t>
      </w:r>
      <w:r w:rsidR="00434BDC" w:rsidRPr="004472FB">
        <w:rPr>
          <w:rFonts w:ascii="Book Antiqua" w:hAnsi="Book Antiqua"/>
          <w:sz w:val="24"/>
          <w:szCs w:val="24"/>
          <w:lang w:val="id-ID"/>
        </w:rPr>
        <w:t>kesejahteraan mental mencakup dimensi yang lebih luas yaitu kesejahteraan emosional (</w:t>
      </w:r>
      <w:r w:rsidR="00434BDC" w:rsidRPr="004472FB">
        <w:rPr>
          <w:rFonts w:ascii="Book Antiqua" w:hAnsi="Book Antiqua"/>
          <w:i/>
          <w:iCs/>
          <w:sz w:val="24"/>
          <w:szCs w:val="24"/>
          <w:lang w:val="id-ID"/>
        </w:rPr>
        <w:t>hedonic</w:t>
      </w:r>
      <w:r w:rsidR="00434BDC" w:rsidRPr="004472FB">
        <w:rPr>
          <w:rFonts w:ascii="Book Antiqua" w:hAnsi="Book Antiqua"/>
          <w:sz w:val="24"/>
          <w:szCs w:val="24"/>
          <w:lang w:val="id-ID"/>
        </w:rPr>
        <w:t>) dan kesejahteraan psikologis (</w:t>
      </w:r>
      <w:r w:rsidR="00434BDC" w:rsidRPr="004472FB">
        <w:rPr>
          <w:rFonts w:ascii="Book Antiqua" w:hAnsi="Book Antiqua"/>
          <w:i/>
          <w:iCs/>
          <w:sz w:val="24"/>
          <w:szCs w:val="24"/>
          <w:lang w:val="id-ID"/>
        </w:rPr>
        <w:t>eudaimonic</w:t>
      </w:r>
      <w:r w:rsidR="00434BDC" w:rsidRPr="004472FB">
        <w:rPr>
          <w:rFonts w:ascii="Book Antiqua" w:hAnsi="Book Antiqua"/>
          <w:sz w:val="24"/>
          <w:szCs w:val="24"/>
          <w:lang w:val="id-ID"/>
        </w:rPr>
        <w:t>)</w:t>
      </w:r>
      <w:r w:rsidR="00B96B7A" w:rsidRPr="004472FB">
        <w:rPr>
          <w:rFonts w:ascii="Book Antiqua" w:hAnsi="Book Antiqua"/>
          <w:sz w:val="24"/>
          <w:szCs w:val="24"/>
          <w:lang w:val="id-ID"/>
        </w:rPr>
        <w:t xml:space="preserve"> </w:t>
      </w:r>
      <w:r w:rsidR="00165B16" w:rsidRPr="004472FB">
        <w:rPr>
          <w:rFonts w:ascii="Book Antiqua" w:hAnsi="Book Antiqua"/>
          <w:sz w:val="24"/>
          <w:szCs w:val="24"/>
          <w:lang w:val="id-ID"/>
        </w:rPr>
        <w:fldChar w:fldCharType="begin" w:fldLock="1"/>
      </w:r>
      <w:r w:rsidR="0055340E" w:rsidRPr="004472FB">
        <w:rPr>
          <w:rFonts w:ascii="Book Antiqua" w:hAnsi="Book Antiqua"/>
          <w:sz w:val="24"/>
          <w:szCs w:val="24"/>
          <w:lang w:val="id-ID"/>
        </w:rPr>
        <w:instrText>ADDIN CSL_CITATION {"citationItems":[{"id":"ITEM-1","itemData":{"DOI":"10.1186/1477-7525-5-63","ISSN":"14777525","PMID":"18042300","abstract":"Background: 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 Methods: WEMWBS was developed by an expert panel drawing on current academic literature, qualitative research with focus groups, and psychometric testing of an existing scale. It was validated on a student and representative population sample. Content validity was assessed by reviewing the frequency of complete responses and the distribution of responses to each item. Confirmatory factor analysis was used to test the hypothesis that the scale measured a single construct. Internal consistency was assessed using Cronbach's alpha. Criterion validity was explored in terms of correlations between WEMWBS and other scales and by testing whether the scale discriminated between population groups in line with pre-specified hypotheses. Test-retest reliability was assessed at one week using intra-class correlation coefficients. Susceptibility to bias was measured using the Balanced Inventory of Desired Responding. Results: WEMWBS showed good content validity. Confirmatory factor analysis supported the single factor hypothesis. A Cronbach's alpha score of 0.89 (student sample) and 0.91 (population sample) suggests some item redundancy in the scale. WEMWBS showed high correlations with other mental health and well-being scales and lower correlations with scales measuring overall health. Its distribution was near normal and the scale did not show ceiling effects in a population sample. It discriminated between population groups in a way that is largely consistent with the results of other population surveys. Test-retest reliability at one week was high (0.83). Social desirability bias was lower or similar to that of other comparable scales. Conclusion: WEMWBS is a measure of mental well-being focusing entirely on positive aspects of mental health. As a short and psychometrically robust scale, with no ceiling effects in a population sample, it offers promise as a tool for monitoring mental well-being at a population level. Whilst WEMWBS should appeal to those evaluating mental…","author":[{"dropping-particle":"","family":"Tennant","given":"Ruth","non-dropping-particle":"","parse-names":false,"suffix":""},{"dropping-particle":"","family":"Hiller","given":"Louise","non-dropping-particle":"","parse-names":false,"suffix":""},{"dropping-particle":"","family":"Fishwick","given":"Ruth","non-dropping-particle":"","parse-names":false,"suffix":""},{"dropping-particle":"","family":"Platt","given":"Stephen","non-dropping-particle":"","parse-names":false,"suffix":""},{"dropping-particle":"","family":"Joseph","given":"Stephen","non-dropping-particle":"","parse-names":false,"suffix":""},{"dropping-particle":"","family":"Weich","given":"Scott","non-dropping-particle":"","parse-names":false,"suffix":""},{"dropping-particle":"","family":"Parkinson","given":"Jane","non-dropping-particle":"","parse-names":false,"suffix":""},{"dropping-particle":"","family":"Secker","given":"Jenny","non-dropping-particle":"","parse-names":false,"suffix":""},{"dropping-particle":"","family":"Stewart-Brown","given":"Sarah","non-dropping-particle":"","parse-names":false,"suffix":""}],"container-title":"Health and Quality of Life Outcomes","id":"ITEM-1","issue":"1","issued":{"date-parts":[["2007"]]},"page":"63","title":"The Warwick-Dinburgh mental well-being scale (WEMWBS): Development and UK validation","type":"article-journal","volume":"5"},"uris":["http://www.mendeley.com/documents/?uuid=d7a41fb1-e6d9-4739-bb64-b7cd0433523d"]}],"mendeley":{"formattedCitation":"[17]","plainTextFormattedCitation":"[17]","previouslyFormattedCitation":"[17]"},"properties":{"noteIndex":0},"schema":"https://github.com/citation-style-language/schema/raw/master/csl-citation.json"}</w:instrText>
      </w:r>
      <w:r w:rsidR="00165B16" w:rsidRPr="004472FB">
        <w:rPr>
          <w:rFonts w:ascii="Book Antiqua" w:hAnsi="Book Antiqua"/>
          <w:sz w:val="24"/>
          <w:szCs w:val="24"/>
          <w:lang w:val="id-ID"/>
        </w:rPr>
        <w:fldChar w:fldCharType="separate"/>
      </w:r>
      <w:r w:rsidR="00165B16" w:rsidRPr="004472FB">
        <w:rPr>
          <w:rFonts w:ascii="Book Antiqua" w:hAnsi="Book Antiqua"/>
          <w:noProof/>
          <w:sz w:val="24"/>
          <w:szCs w:val="24"/>
          <w:lang w:val="id-ID"/>
        </w:rPr>
        <w:t>[17]</w:t>
      </w:r>
      <w:r w:rsidR="00165B16" w:rsidRPr="004472FB">
        <w:rPr>
          <w:rFonts w:ascii="Book Antiqua" w:hAnsi="Book Antiqua"/>
          <w:sz w:val="24"/>
          <w:szCs w:val="24"/>
          <w:lang w:val="id-ID"/>
        </w:rPr>
        <w:fldChar w:fldCharType="end"/>
      </w:r>
      <w:r w:rsidR="00434BDC" w:rsidRPr="004472FB">
        <w:rPr>
          <w:rFonts w:ascii="Book Antiqua" w:hAnsi="Book Antiqua"/>
          <w:sz w:val="24"/>
          <w:szCs w:val="24"/>
          <w:lang w:val="id-ID"/>
        </w:rPr>
        <w:t>, sehingga penelitian yang secara khusus menggambarkan tingkat kesejahteraan mental pada mahasiswa yang mengalami kecemasan masih terbatas.</w:t>
      </w:r>
    </w:p>
    <w:p w14:paraId="0EF091F7" w14:textId="4775F9B2" w:rsidR="006A5839" w:rsidRPr="004472FB" w:rsidRDefault="00E94E4B" w:rsidP="004472FB">
      <w:pPr>
        <w:ind w:firstLine="709"/>
        <w:jc w:val="both"/>
        <w:rPr>
          <w:rFonts w:ascii="Book Antiqua" w:hAnsi="Book Antiqua"/>
          <w:sz w:val="24"/>
          <w:szCs w:val="24"/>
          <w:lang w:val="id-ID"/>
        </w:rPr>
      </w:pPr>
      <w:r w:rsidRPr="004472FB">
        <w:rPr>
          <w:rFonts w:ascii="Book Antiqua" w:hAnsi="Book Antiqua"/>
          <w:sz w:val="24"/>
          <w:szCs w:val="24"/>
          <w:lang w:val="id-ID"/>
        </w:rPr>
        <w:t>Urgensi penelitian ini didasari oleh tinggin</w:t>
      </w:r>
      <w:r w:rsidR="00D5337C" w:rsidRPr="004472FB">
        <w:rPr>
          <w:rFonts w:ascii="Book Antiqua" w:hAnsi="Book Antiqua"/>
          <w:sz w:val="24"/>
          <w:szCs w:val="24"/>
          <w:lang w:val="id-ID"/>
        </w:rPr>
        <w:t>y</w:t>
      </w:r>
      <w:r w:rsidRPr="004472FB">
        <w:rPr>
          <w:rFonts w:ascii="Book Antiqua" w:hAnsi="Book Antiqua"/>
          <w:sz w:val="24"/>
          <w:szCs w:val="24"/>
          <w:lang w:val="id-ID"/>
        </w:rPr>
        <w:t>a prevalensi gangguan kesehatan mental pada mahasiswa, khususnya pada masa awal memasuki perguruan tinggi.</w:t>
      </w:r>
      <w:r w:rsidR="00E823BE" w:rsidRPr="004472FB">
        <w:rPr>
          <w:rFonts w:ascii="Book Antiqua" w:hAnsi="Book Antiqua"/>
          <w:sz w:val="24"/>
          <w:szCs w:val="24"/>
          <w:lang w:val="id-ID"/>
        </w:rPr>
        <w:t xml:space="preserve"> Sebagian besar gangguan kesehatan mental diketahui telah muncul sebelum individu memasuki usia 25 tahun, sehingga fase </w:t>
      </w:r>
      <w:r w:rsidR="00E823BE" w:rsidRPr="004472FB">
        <w:rPr>
          <w:rFonts w:ascii="Book Antiqua" w:hAnsi="Book Antiqua"/>
          <w:i/>
          <w:iCs/>
          <w:sz w:val="24"/>
          <w:szCs w:val="24"/>
          <w:lang w:val="id-ID"/>
        </w:rPr>
        <w:t xml:space="preserve">emerging adulthood </w:t>
      </w:r>
      <w:r w:rsidR="00E823BE" w:rsidRPr="004472FB">
        <w:rPr>
          <w:rFonts w:ascii="Book Antiqua" w:hAnsi="Book Antiqua"/>
          <w:sz w:val="24"/>
          <w:szCs w:val="24"/>
          <w:lang w:val="id-ID"/>
        </w:rPr>
        <w:t xml:space="preserve">menjadi periode penting yang turut menentukan kondisi kesehatan mental serta kesejahteraan individu pada tahap kehidupan berikutnya </w:t>
      </w:r>
      <w:r w:rsidR="00E823B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{"citationItems":[{"id":"ITEM-1","itemData":{"ISBN":"9789240113817","abstract":"The report presents global data and insights on mental health trends, risk factors, and policy actions, aiming to transform understanding and approaches toward improving mental well-being worldwide.","author":[{"dropping-particle":"","family":"Organization","given":"World Health","non-dropping-particle":"","parse-names":false,"suffix":""}],"container-title":"World Mental Health Report: Transforming Mental Health For All","id":"ITEM-1","issued":{"date-parts":[["2025"]]},"number-of-pages":"35-69","title":"World Mental Health Today","type":"book"},"uris":["http://www.mendeley.com/documents/?uuid=cf4ca7f4-0eed-4b2d-a6ec-7c0a93b2a7be"]}],"mendeley":{"formattedCitation":"[23]","plainTextFormattedCitation":"[23]","previouslyFormattedCitation":"[23]"},"properties":{"noteIndex":0},"schema":"https://github.com/citation-style-language/schema/raw/master/csl-citation.json"}</w:instrText>
      </w:r>
      <w:r w:rsidR="00E823B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[23]</w:t>
      </w:r>
      <w:r w:rsidR="00E823BE" w:rsidRPr="004472FB">
        <w:rPr>
          <w:rFonts w:ascii="Book Antiqua" w:hAnsi="Book Antiqua"/>
          <w:sz w:val="24"/>
          <w:szCs w:val="24"/>
          <w:lang w:val="id-ID"/>
        </w:rPr>
        <w:fldChar w:fldCharType="end"/>
      </w:r>
      <w:r w:rsidR="00E823BE" w:rsidRPr="004472FB">
        <w:rPr>
          <w:rFonts w:ascii="Book Antiqua" w:hAnsi="Book Antiqua"/>
          <w:sz w:val="24"/>
          <w:szCs w:val="24"/>
          <w:lang w:val="id-ID"/>
        </w:rPr>
        <w:t>. Kondisi tersebut tampak pada mahasiswa tahun pertama, yang umumnya menunjukkan gejala kesehatan mental yang signifikan secara klinis. Sekitar 28-33% mahasiswa dilaporkan telah mengalami</w:t>
      </w:r>
      <w:r w:rsidRPr="004472FB">
        <w:rPr>
          <w:rFonts w:ascii="Book Antiqua" w:hAnsi="Book Antiqua"/>
          <w:sz w:val="24"/>
          <w:szCs w:val="24"/>
          <w:lang w:val="id-ID"/>
        </w:rPr>
        <w:t xml:space="preserve"> </w:t>
      </w:r>
      <w:r w:rsidR="00E823BE" w:rsidRPr="004472FB">
        <w:rPr>
          <w:rFonts w:ascii="Book Antiqua" w:hAnsi="Book Antiqua"/>
          <w:sz w:val="24"/>
          <w:szCs w:val="24"/>
          <w:lang w:val="id-ID"/>
        </w:rPr>
        <w:t xml:space="preserve">gejala depresi dan kecemasan yang signifikan sejak awal memasuki perguruan tinggi, dan angka tersebut meningkat menjadi 36-39% pada akhir tahun pertama, seiring dengan munculnya gangguan fungsi sosial dan penurunan kesejahteraan </w:t>
      </w:r>
      <w:r w:rsidR="00E823B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{"citationItems":[{"id":"ITEM-1","itemData":{"DOI":"10.1192/bjo.2020.24","abstract":"BackgroundAlthough there is growing interest in mental health problems in university students there is limited understanding of the scope of need and determinants to inform intervention efforts.AimsTo longitudinally examine the extent and persistence of mental health symptoms and the importance of psychosocial and lifestyle factors for student mental health and academic outcomes.MethodUndergraduates at a Canadian university were invited to complete electronic surveys at entry and completion of their first year. The baseline survey measured important distal and proximal risk factors and the follow-up assessed mental health and well-being. Surveys were linked to academic grades. Multivariable models of risk factors and mental health and academic outcomes were fit and adjusted for confounders.ResultsIn 1530 students surveyed at entry to university 28% and 33% screened positive for clinically significant depressive and anxiety symptoms respectively, which increased to 36% and 39% at the completion of first year. Over the academic year, 14% of students reported suicidal thoughts and 1.6% suicide attempts. Moreover, there was persistence and overlap in these mental health outcomes. Modifiable psychosocial and lifestyle factors at entry were associated with positive screens for mental health outcomes at completion of first year, while anxiety and depressive symptoms were associated with lower grades and university well-being.ConclusionsClinically significant mental health symptoms are common and persistent among first-year university students and have a negative impact on academic performance and well-being. A comprehensive mental health strategy that includes a whole university approach to prevention and targeted early-intervention measures and associated research is justified.","author":[{"dropping-particle":"","family":"Duffy","given":"A.","non-dropping-particle":"","parse-names":false,"suffix":""},{"dropping-particle":"","family":"Keown-Stoneman","given":"C.","non-dropping-particle":"","parse-names":false,"suffix":""},{"dropping-particle":"","family":"Goodday","given":"S.","non-dropping-particle":"","parse-names":false,"suffix":""},{"dropping-particle":"","family":"Horrocks","given":"J.","non-dropping-particle":"","parse-names":false,"suffix":""},{"dropping-particle":"","family":"Lowe","given":"M.","non-dropping-particle":"","parse-names":false,"suffix":""},{"dropping-particle":"","family":"King","given":"N.","non-dropping-particle":"","parse-names":false,"suffix":""},{"dropping-particle":"","family":"Pickett","given":"W.","non-dropping-particle":"","parse-names":false,"suffix":""},{"dropping-particle":"","family":"McNevin","given":"S. H.","non-dropping-particle":"","parse-names":false,"suffix":""},{"dropping-particle":"","family":"Cunningham","given":"S.","non-dropping-particle":"","parse-names":false,"suffix":""},{"dropping-particle":"","family":"Rivera","given":"D.","non-dropping-particle":"","parse-names":false,"suffix":""},{"dropping-particle":"","family":"Bisdounis","given":"L.","non-dropping-particle":"","parse-names":false,"suffix":""},{"dropping-particle":"","family":"Bowie","given":"C. R.","non-dropping-particle":"","parse-names":false,"suffix":""},{"dropping-particle":"","family":"Harkness","given":"K.","non-dropping-particle":"","parse-names":false,"suffix":""},{"dropping-particle":"","family":"Saunders","given":"K. E. A.","non-dropping-particle":"","parse-names":false,"suffix":""}],"container-title":"BJPsych Open","id":"ITEM-1","issue":"3","issued":{"date-parts":[["2020"]]},"page":"1-8","title":"Predictors of mental health and academic outcomes in first-year university students: Identifying prevention and early-intervention targets","type":"article-journal","volume":"6"},"uris":["http://www.mendeley.com/documents/?uuid=f2cd3271-7308-4137-a9e1-7179de56fb39"]}],"mendeley":{"formattedCitation":"[24]","plainTextFormattedCitation":"[24]","previouslyFormattedCitation":"[24]"},"properties":{"noteIndex":0},"schema":"https://github.com/citation-style-language/schema/raw/master/csl-citation.json"}</w:instrText>
      </w:r>
      <w:r w:rsidR="00E823B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[24]</w:t>
      </w:r>
      <w:r w:rsidR="00E823BE" w:rsidRPr="004472FB">
        <w:rPr>
          <w:rFonts w:ascii="Book Antiqua" w:hAnsi="Book Antiqua"/>
          <w:sz w:val="24"/>
          <w:szCs w:val="24"/>
          <w:lang w:val="id-ID"/>
        </w:rPr>
        <w:fldChar w:fldCharType="end"/>
      </w:r>
      <w:r w:rsidR="00E823BE" w:rsidRPr="004472FB">
        <w:rPr>
          <w:rFonts w:ascii="Book Antiqua" w:hAnsi="Book Antiqua"/>
          <w:sz w:val="24"/>
          <w:szCs w:val="24"/>
          <w:lang w:val="id-ID"/>
        </w:rPr>
        <w:t xml:space="preserve">. Temuan tersebut juga didukung oleh data yang menunjukkan bahwa prevalensi kecemasan pada mahasiswa tahun pertama mencapai 75%, bersamaan dengan tingginya prevalensi depresi dan stres, sehingga mengindikasikan bahwa tekanan psikologis pada fase transisi ini tidak dapat diabaikan </w:t>
      </w:r>
      <w:r w:rsidR="00E823B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{"citationItems":[{"id":"ITEM-1","itemData":{"DOI":"10.1186/s12888-025-07069-8","ISSN":"1471244X","PMID":"40598169","abstract":"This study investigated the levels of depression, anxiety, and stress among first-year university students and predictors of depression, anxiety, and stress among this cohort of students. Six hundred and eighty-eight (688) first-year undergraduate students were sampled for the study. The Depression, Anxiety, and Stress Scale-21 (DASS-21) was used to assess the prevalence of mental health issues. The results showed prevalence rates for depression, anxiety, and stress among students were 49%, 75%, and 73.26%, respectively. Females reported higher levels of all three variables. There were positive correlations between academic stress and depression (r =.27), anxiety (r =.21), and stress (r =.23), all significant at p &lt;.001. These results suggest that depression, anxiety, and stress are common mental health issues among undergraduate students, affecting individuals to varying degrees and influenced by a range of factors.","author":[{"dropping-particle":"","family":"Haruna","given":"Umar","non-dropping-particle":"","parse-names":false,"suffix":""},{"dropping-particle":"","family":"Mohammed","given":"Abdul Raheem","non-dropping-particle":"","parse-names":false,"suffix":""},{"dropping-particle":"","family":"Braimah","given":"Mary","non-dropping-particle":"","parse-names":false,"suffix":""}],"container-title":"BMC Psychiatry","id":"ITEM-1","issue":"1","issued":{"date-parts":[["2025"]]},"title":"Understanding the burden of depression, anxiety and stress among first-year undergraduate students","type":"article-journal","volume":"25"},"uris":["http://www.mendeley.com/documents/?uuid=037c9602-a267-4d92-ac81-a57f9bf5ddd6"]}],"mendeley":{"formattedCitation":"[25]","plainTextFormattedCitation":"[25]"},"properties":{"noteIndex":0},"schema":"https://github.com/citation-style-language/schema/raw/master/csl-citation.json"}</w:instrText>
      </w:r>
      <w:r w:rsidR="00E823B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[25]</w:t>
      </w:r>
      <w:r w:rsidR="00E823BE" w:rsidRPr="004472FB">
        <w:rPr>
          <w:rFonts w:ascii="Book Antiqua" w:hAnsi="Book Antiqua"/>
          <w:sz w:val="24"/>
          <w:szCs w:val="24"/>
          <w:lang w:val="id-ID"/>
        </w:rPr>
        <w:fldChar w:fldCharType="end"/>
      </w:r>
      <w:r w:rsidR="00E823BE" w:rsidRPr="004472FB">
        <w:rPr>
          <w:rFonts w:ascii="Book Antiqua" w:hAnsi="Book Antiqua"/>
          <w:sz w:val="24"/>
          <w:szCs w:val="24"/>
          <w:lang w:val="id-ID"/>
        </w:rPr>
        <w:t>.</w:t>
      </w:r>
    </w:p>
    <w:p w14:paraId="1CD56D63" w14:textId="320A367F" w:rsidR="00E94E4B" w:rsidRPr="004472FB" w:rsidRDefault="00D233C2"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Fenomena tersebut turut tampak pada mahasiswa Universitas Muhammadiyah  Tasikmalaya angkatan 2025. Berdasarkan </w:t>
      </w:r>
      <w:r w:rsidR="00D5337C" w:rsidRPr="004472FB">
        <w:rPr>
          <w:rFonts w:ascii="Book Antiqua" w:hAnsi="Book Antiqua"/>
          <w:sz w:val="24"/>
          <w:szCs w:val="24"/>
          <w:lang w:val="id-ID"/>
        </w:rPr>
        <w:t>studi pendahuluan yang dilakukan melalui wawancara</w:t>
      </w:r>
      <w:r w:rsidRPr="004472FB">
        <w:rPr>
          <w:rFonts w:ascii="Book Antiqua" w:hAnsi="Book Antiqua"/>
          <w:sz w:val="24"/>
          <w:szCs w:val="24"/>
          <w:lang w:val="id-ID"/>
        </w:rPr>
        <w:t>, sebagian mahasiswa belum berada pada kondisi kesejahteraan mental yang optimal dalam menghadapi masa transisi dari sekolah ke perguruan tinggi, yang ditandai dengan kesulitan beradaptasi terhadap lingkungan dan sistem pembelajaran baru, tuntutan akademik yang tinggi, serta munculnya stres, kecemasan, dan kesepian akibat masih terbatasnya relasi sosial di lingkungan kampus. Kondisi ini mengindikasikan adanya kerentanan kesejahteraan mental pada mahasiswa angkatan 2025 yang perlu mendapat perhatian dan intervensi yang tepat.</w:t>
      </w:r>
    </w:p>
    <w:p w14:paraId="5D53AB46" w14:textId="3BABCF7E" w:rsidR="00D233C2" w:rsidRPr="004472FB" w:rsidRDefault="00D233C2"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Tingginya prevalensi tersebut menegaskan bahwa mahasiswa tingkat awal merupakan kelompok yang rentan mengalami kecemasan sekaligus paling membutuhkan pemetaan kondisi kesejahteraan mental secara spesifik. Namun, sebagaimana telah diuraikan sebelumnya, penelitian terdahulu cenderung berfokus pada hubungan kecemasan dengan konstruk kesehatan mental atau kesejahteraan psikologis secara umum, sehingga gambaran kesejahteraan mental yang mencakup aspek </w:t>
      </w:r>
      <w:r w:rsidRPr="004472FB">
        <w:rPr>
          <w:rFonts w:ascii="Book Antiqua" w:hAnsi="Book Antiqua"/>
          <w:i/>
          <w:iCs/>
          <w:sz w:val="24"/>
          <w:szCs w:val="24"/>
          <w:lang w:val="id-ID"/>
        </w:rPr>
        <w:t xml:space="preserve">hedonic </w:t>
      </w:r>
      <w:r w:rsidRPr="004472FB">
        <w:rPr>
          <w:rFonts w:ascii="Book Antiqua" w:hAnsi="Book Antiqua"/>
          <w:sz w:val="24"/>
          <w:szCs w:val="24"/>
          <w:lang w:val="id-ID"/>
        </w:rPr>
        <w:t xml:space="preserve">dan </w:t>
      </w:r>
      <w:r w:rsidRPr="004472FB">
        <w:rPr>
          <w:rFonts w:ascii="Book Antiqua" w:hAnsi="Book Antiqua"/>
          <w:i/>
          <w:iCs/>
          <w:sz w:val="24"/>
          <w:szCs w:val="24"/>
          <w:lang w:val="id-ID"/>
        </w:rPr>
        <w:t xml:space="preserve">eudaimonic </w:t>
      </w:r>
      <w:r w:rsidRPr="004472FB">
        <w:rPr>
          <w:rFonts w:ascii="Book Antiqua" w:hAnsi="Book Antiqua"/>
          <w:sz w:val="24"/>
          <w:szCs w:val="24"/>
          <w:lang w:val="id-ID"/>
        </w:rPr>
        <w:t xml:space="preserve">secara utuh pada mahasiswa yang mengalami kecemasan, khususnya pada mahasiswa tingkat awal, masih jarang dikaji. Kesenjangan ini penting untuk diatasi. Tanpa gambaran yang jelas mengenai </w:t>
      </w:r>
      <w:r w:rsidRPr="004472FB">
        <w:rPr>
          <w:rFonts w:ascii="Book Antiqua" w:hAnsi="Book Antiqua"/>
          <w:sz w:val="24"/>
          <w:szCs w:val="24"/>
          <w:lang w:val="id-ID"/>
        </w:rPr>
        <w:lastRenderedPageBreak/>
        <w:t>kondisi tersebut, upaya bantuan atau intervensi yang diberikan kampus berisiko kurang tepat sasaran, sehingga mahasiswa yang mengalami kecemasan bisa saja terus berada dalam kondisi kesejahteraan mental yang rendah tanpa mendapat penanganan yang sesuai dengan kebutuhannya.</w:t>
      </w:r>
      <w:r w:rsidR="00263A04" w:rsidRPr="004472FB">
        <w:rPr>
          <w:rFonts w:ascii="Book Antiqua" w:hAnsi="Book Antiqua"/>
          <w:sz w:val="24"/>
          <w:szCs w:val="24"/>
          <w:lang w:val="id-ID"/>
        </w:rPr>
        <w:t xml:space="preserve"> Selain memiliki manfaat praktis bagi perguruan tinggi dalam menyusun upaya preventif dan kuratif, penelitian ini juga diharapkan dapat memberikan kontribusi bagi pengembangan ilmu pengetahuan, khususnya bimbingan dan konseling dalam menyusun program layanan yang lebih tepat sasaran untuk membantu mahasiswa mengatasi kecemasna dan meningkatkan kesejahteraan mentalnya.</w:t>
      </w:r>
    </w:p>
    <w:p w14:paraId="267CDA5B" w14:textId="515AABCB" w:rsidR="00434BDC" w:rsidRPr="004472FB" w:rsidRDefault="00434BDC" w:rsidP="004472FB">
      <w:pPr>
        <w:ind w:firstLine="709"/>
        <w:jc w:val="both"/>
        <w:rPr>
          <w:rFonts w:ascii="Book Antiqua" w:hAnsi="Book Antiqua"/>
          <w:i/>
          <w:iCs/>
          <w:sz w:val="24"/>
          <w:szCs w:val="24"/>
          <w:lang w:val="id-ID"/>
        </w:rPr>
      </w:pPr>
      <w:r w:rsidRPr="004472FB">
        <w:rPr>
          <w:rFonts w:ascii="Book Antiqua" w:hAnsi="Book Antiqua"/>
          <w:sz w:val="24"/>
          <w:szCs w:val="24"/>
          <w:lang w:val="id-ID"/>
        </w:rPr>
        <w:t>Maka penelitian ini penting untuk membahas dan mendeskripsikan kondisi kesejahteraan mental pada mahasiswa yang mengalami kecemasan, sehingga dapat menjadi dasar dalam memahami kondisi psikol</w:t>
      </w:r>
      <w:r w:rsidR="003A77B4" w:rsidRPr="004472FB">
        <w:rPr>
          <w:rFonts w:ascii="Book Antiqua" w:hAnsi="Book Antiqua"/>
          <w:sz w:val="24"/>
          <w:szCs w:val="24"/>
          <w:lang w:val="id-ID"/>
        </w:rPr>
        <w:t>o</w:t>
      </w:r>
      <w:r w:rsidRPr="004472FB">
        <w:rPr>
          <w:rFonts w:ascii="Book Antiqua" w:hAnsi="Book Antiqua"/>
          <w:sz w:val="24"/>
          <w:szCs w:val="24"/>
          <w:lang w:val="id-ID"/>
        </w:rPr>
        <w:t>gis mahasiswa dan menyusun upaya preventif maupun kuratif yang lebih tepat. Oleh karena itu, penelitian ini bertujuan untuk memperoleh gambaran mengenai tingkat kesejahteraan mental pada mahasiswa angkatan 2025 Universitas Muhammadiyah Tasikmalaya yang mengalami kecemasan.</w:t>
      </w:r>
    </w:p>
    <w:p w14:paraId="60EDF6C2" w14:textId="77777777" w:rsidR="007B697D" w:rsidRPr="004472FB" w:rsidRDefault="007B697D" w:rsidP="004472FB">
      <w:pPr>
        <w:tabs>
          <w:tab w:val="left" w:pos="426"/>
        </w:tabs>
        <w:jc w:val="both"/>
        <w:rPr>
          <w:rFonts w:ascii="Book Antiqua" w:hAnsi="Book Antiqua"/>
          <w:b/>
          <w:bCs/>
          <w:sz w:val="24"/>
          <w:szCs w:val="24"/>
          <w:lang w:val="id-ID"/>
        </w:rPr>
      </w:pPr>
    </w:p>
    <w:p w14:paraId="6AD6C384" w14:textId="77777777" w:rsidR="007F38C0" w:rsidRPr="004472FB" w:rsidRDefault="007F38C0" w:rsidP="004472FB">
      <w:pPr>
        <w:tabs>
          <w:tab w:val="left" w:pos="426"/>
        </w:tabs>
        <w:jc w:val="both"/>
        <w:rPr>
          <w:rFonts w:ascii="Book Antiqua" w:hAnsi="Book Antiqua"/>
          <w:b/>
          <w:bCs/>
          <w:sz w:val="24"/>
          <w:szCs w:val="24"/>
          <w:lang w:val="id-ID"/>
        </w:rPr>
      </w:pPr>
      <w:r w:rsidRPr="004472FB">
        <w:rPr>
          <w:rFonts w:ascii="Book Antiqua" w:hAnsi="Book Antiqua"/>
          <w:b/>
          <w:bCs/>
          <w:sz w:val="24"/>
          <w:szCs w:val="24"/>
          <w:lang w:val="id-ID"/>
        </w:rPr>
        <w:t>METODE</w:t>
      </w:r>
    </w:p>
    <w:p w14:paraId="44E6306E" w14:textId="37CF08C4" w:rsidR="007F38C0" w:rsidRPr="004472FB" w:rsidRDefault="007B70A0"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Penelitian ini menggunakan pendekatan kuantitatif, yaitu pendekatan penelitian yang berlandaskan pada filsafat positivism, digunakan untuk meneliti populasi atau sampel tertentu melalui pengumpulan data menggunakan instrumen penelitian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9786022895336","author":[{"dropping-particle":"","family":"Sugiyono","given":"","non-dropping-particle":"","parse-names":false,"suffix":""}],"id":"ITEM-1","issued":{"date-parts":[["2023"]]},"publisher":"Alfabeta","publisher-place":"Bandung","title":"Metode Penelitian Kuantitatif, Kualitatif, dan R&amp;D","type":"book"},"uris":["http://www.mendeley.com/documents/?uuid=7b840ab4-f51c-4c5c-9f2c-33d5e1a84d02"]}],"mendeley":{"formattedCitation":"[26]","plainTextFormattedCitation":"[26]","previouslyFormattedCitation":"[25]"},"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[26]</w:t>
      </w:r>
      <w:r w:rsidR="0055340E" w:rsidRPr="004472FB">
        <w:rPr>
          <w:rFonts w:ascii="Book Antiqua" w:hAnsi="Book Antiqua"/>
          <w:sz w:val="24"/>
          <w:szCs w:val="24"/>
          <w:lang w:val="id-ID"/>
        </w:rPr>
        <w:fldChar w:fldCharType="end"/>
      </w:r>
      <w:r w:rsidRPr="004472FB">
        <w:rPr>
          <w:rFonts w:ascii="Book Antiqua" w:hAnsi="Book Antiqua"/>
          <w:sz w:val="24"/>
          <w:szCs w:val="24"/>
          <w:lang w:val="id-ID"/>
        </w:rPr>
        <w:t xml:space="preserve">. Dalam penelitian ini, desain penelitian yang digunakan adalah desain penelitian deskriptif. Penelitian deskriptif merupakan metode penelitian yang bertujuan untuk menggambarkan, menjelaskan, dan memberikan gambaran yang valid mengenai fenomena yang sedang diteliti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{"citationItems":[{"id":"ITEM-1","itemData":{"ISBN":"9786239859886","author":[{"dropping-particle":"","family":"Priadana, M. S., &amp; Sunarsi","given":"D","non-dropping-particle":"","parse-names":false,"suffix":""}],"id":"ITEM-1","issued":{"date-parts":[["2021"]]},"publisher":"Pascal Books.","publisher-place":"Tanggerang:","title":"Metode Penelitian Kuantitatif.","type":"book"},"uris":["http://www.mendeley.com/documents/?uuid=a15d8d51-d5fc-40b1-8821-f70dc2e5d08a"]}],"mendeley":{"formattedCitation":"[27]","plainTextFormattedCitation":"[27]","previouslyFormattedCitation":"[26]"},"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[27]</w:t>
      </w:r>
      <w:r w:rsidR="0055340E" w:rsidRPr="004472FB">
        <w:rPr>
          <w:rFonts w:ascii="Book Antiqua" w:hAnsi="Book Antiqua"/>
          <w:sz w:val="24"/>
          <w:szCs w:val="24"/>
          <w:lang w:val="id-ID"/>
        </w:rPr>
        <w:fldChar w:fldCharType="end"/>
      </w:r>
      <w:r w:rsidRPr="004472FB">
        <w:rPr>
          <w:rFonts w:ascii="Book Antiqua" w:hAnsi="Book Antiqua"/>
          <w:sz w:val="24"/>
          <w:szCs w:val="24"/>
          <w:lang w:val="id-ID"/>
        </w:rPr>
        <w:t>. Populasi penelitian adalah mahasiswa Universitas Muhammadiyah Tasikmalaya angkatan 2025</w:t>
      </w:r>
      <w:r w:rsidR="00056370" w:rsidRPr="004472FB">
        <w:rPr>
          <w:rFonts w:ascii="Book Antiqua" w:hAnsi="Book Antiqua"/>
          <w:sz w:val="24"/>
          <w:szCs w:val="24"/>
          <w:lang w:val="id-ID"/>
        </w:rPr>
        <w:t>, sebanyak 617 mahasiswa</w:t>
      </w:r>
      <w:r w:rsidRPr="004472FB">
        <w:rPr>
          <w:rFonts w:ascii="Book Antiqua" w:hAnsi="Book Antiqua"/>
          <w:sz w:val="24"/>
          <w:szCs w:val="24"/>
          <w:lang w:val="id-ID"/>
        </w:rPr>
        <w:t xml:space="preserve">. Mahasiswa angkatan 2025 dipilih sebagai populasi penelitian karena berada pada fase dewasa awal, yaitu masa transisi dari remaja menuju dewasa yang ditandai dengan berbagai proses eksplorasi dan penyesuaian diri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{"citationItems":[{"id":"ITEM-1","itemData":{"ISBN":"9780073532097","author":[{"dropping-particle":"","family":"Santrock","given":"J. W.","non-dropping-particle":"","parse-names":false,"suffix":""}],"id":"ITEM-1","issued":{"date-parts":[["2011"]]},"publisher":"McGraw-Hill.","title":"Life-span development (13th ed.)","type":"book"},"uris":["http://www.mendeley.com/documents/?uuid=76a78a05-6e21-407b-b47f-656d248e2131"]}],"mendeley":{"formattedCitation":"[28]","plainTextFormattedCitation":"[28]","previouslyFormattedCitation":"[27]"},"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[28]</w:t>
      </w:r>
      <w:r w:rsidR="0055340E" w:rsidRPr="004472FB">
        <w:rPr>
          <w:rFonts w:ascii="Book Antiqua" w:hAnsi="Book Antiqua"/>
          <w:sz w:val="24"/>
          <w:szCs w:val="24"/>
          <w:lang w:val="id-ID"/>
        </w:rPr>
        <w:fldChar w:fldCharType="end"/>
      </w:r>
      <w:r w:rsidRPr="004472FB">
        <w:rPr>
          <w:rFonts w:ascii="Book Antiqua" w:hAnsi="Book Antiqua"/>
          <w:sz w:val="24"/>
          <w:szCs w:val="24"/>
          <w:lang w:val="id-ID"/>
        </w:rPr>
        <w:t>, sehingga kelompok ini rentan mengalami kecemasan yang dapat memengaruhi kesejahteraan mental.</w:t>
      </w:r>
      <w:r w:rsidR="00056370" w:rsidRPr="004472FB">
        <w:rPr>
          <w:rFonts w:ascii="Book Antiqua" w:hAnsi="Book Antiqua"/>
          <w:sz w:val="24"/>
          <w:szCs w:val="24"/>
          <w:lang w:val="id-ID"/>
        </w:rPr>
        <w:t xml:space="preserve"> </w:t>
      </w:r>
    </w:p>
    <w:p w14:paraId="468D75B2" w14:textId="77777777" w:rsidR="00BE6D1E" w:rsidRPr="004472FB" w:rsidRDefault="007B70A0" w:rsidP="004472FB">
      <w:pPr>
        <w:ind w:firstLine="709"/>
        <w:jc w:val="both"/>
        <w:rPr>
          <w:rFonts w:ascii="Book Antiqua" w:hAnsi="Book Antiqua"/>
          <w:sz w:val="24"/>
          <w:szCs w:val="24"/>
          <w:lang w:val="id-ID"/>
        </w:rPr>
      </w:pPr>
      <w:r w:rsidRPr="004472FB">
        <w:rPr>
          <w:rFonts w:ascii="Book Antiqua" w:hAnsi="Book Antiqua"/>
          <w:sz w:val="24"/>
          <w:szCs w:val="24"/>
          <w:lang w:val="id-ID"/>
        </w:rPr>
        <w:t>Pengambilan sampel dilakukan menggunakan tekni</w:t>
      </w:r>
      <w:r w:rsidR="003A77B4" w:rsidRPr="004472FB">
        <w:rPr>
          <w:rFonts w:ascii="Book Antiqua" w:hAnsi="Book Antiqua"/>
          <w:sz w:val="24"/>
          <w:szCs w:val="24"/>
          <w:lang w:val="id-ID"/>
        </w:rPr>
        <w:t>k</w:t>
      </w:r>
      <w:r w:rsidRPr="004472FB">
        <w:rPr>
          <w:rFonts w:ascii="Book Antiqua" w:hAnsi="Book Antiqua"/>
          <w:sz w:val="24"/>
          <w:szCs w:val="24"/>
          <w:lang w:val="id-ID"/>
        </w:rPr>
        <w:t xml:space="preserve"> </w:t>
      </w:r>
      <w:r w:rsidRPr="004472FB">
        <w:rPr>
          <w:rFonts w:ascii="Book Antiqua" w:hAnsi="Book Antiqua"/>
          <w:i/>
          <w:iCs/>
          <w:sz w:val="24"/>
          <w:szCs w:val="24"/>
          <w:lang w:val="id-ID"/>
        </w:rPr>
        <w:t xml:space="preserve">purposive sampling </w:t>
      </w:r>
      <w:r w:rsidRPr="004472FB">
        <w:rPr>
          <w:rFonts w:ascii="Book Antiqua" w:hAnsi="Book Antiqua"/>
          <w:sz w:val="24"/>
          <w:szCs w:val="24"/>
          <w:lang w:val="id-ID"/>
        </w:rPr>
        <w:t xml:space="preserve">yaitu teknik pengambilan sampel yang dilakukan berdasarkan kriteria atau karakteristik tertentu yang ditetapkan oleh peneliti sesuai dengan tujuan penelitian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9786022895336","author":[{"dropping-particle":"","family":"Sugiyono","given":"","non-dropping-particle":"","parse-names":false,"suffix":""}],"id":"ITEM-1","issued":{"date-parts":[["2023"]]},"publisher":"Alfabeta","publisher-place":"Bandung","title":"Metode Penelitian Kuantitatif, Kualitatif, dan R&amp;D","type":"book"},"uris":["http://www.mendeley.com/documents/?uuid=7b840ab4-f51c-4c5c-9f2c-33d5e1a84d02"]}],"mendeley":{"formattedCitation":"[26]","plainTextFormattedCitation":"[26]","previouslyFormattedCitation":"[25]"},"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[26]</w:t>
      </w:r>
      <w:r w:rsidR="0055340E" w:rsidRPr="004472FB">
        <w:rPr>
          <w:rFonts w:ascii="Book Antiqua" w:hAnsi="Book Antiqua"/>
          <w:sz w:val="24"/>
          <w:szCs w:val="24"/>
          <w:lang w:val="id-ID"/>
        </w:rPr>
        <w:fldChar w:fldCharType="end"/>
      </w:r>
      <w:r w:rsidRPr="004472FB">
        <w:rPr>
          <w:rFonts w:ascii="Book Antiqua" w:hAnsi="Book Antiqua"/>
          <w:sz w:val="24"/>
          <w:szCs w:val="24"/>
          <w:lang w:val="id-ID"/>
        </w:rPr>
        <w:t xml:space="preserve">. </w:t>
      </w:r>
      <w:r w:rsidR="00231B76" w:rsidRPr="004472FB">
        <w:rPr>
          <w:rFonts w:ascii="Book Antiqua" w:hAnsi="Book Antiqua"/>
          <w:sz w:val="24"/>
          <w:szCs w:val="24"/>
          <w:lang w:val="id-ID"/>
        </w:rPr>
        <w:t>Kuesioner disebarkan kepada seluruh populasi sebanyak 617 mahasiswa, dan diperoleh respons dari 244 mahasiswa yang mengisi kuesioner secara lengkap. Dari 244 responden tersebut, ditemukan sebanyak 94 mahasiswa yang memiliki skor kecemasan pada kategori ringan hingga sangat parah berdasarkan hasil pengukuran DASS-21. Dengan demikian,</w:t>
      </w:r>
      <w:r w:rsidRPr="004472FB">
        <w:rPr>
          <w:rFonts w:ascii="Book Antiqua" w:hAnsi="Book Antiqua"/>
          <w:sz w:val="24"/>
          <w:szCs w:val="24"/>
          <w:lang w:val="id-ID"/>
        </w:rPr>
        <w:t xml:space="preserve"> kriteria pemilihan sampel dalam penelitian ini adalah mahasiswa aktif Universitas Muhammadiyah Tasikmalaya angkatan 2025 dan memiliki skor kecemasan pada kategori ringan hingga sangat para</w:t>
      </w:r>
      <w:r w:rsidR="00231B76" w:rsidRPr="004472FB">
        <w:rPr>
          <w:rFonts w:ascii="Book Antiqua" w:hAnsi="Book Antiqua"/>
          <w:sz w:val="24"/>
          <w:szCs w:val="24"/>
          <w:lang w:val="id-ID"/>
        </w:rPr>
        <w:t>h</w:t>
      </w:r>
      <w:r w:rsidRPr="004472FB">
        <w:rPr>
          <w:rFonts w:ascii="Book Antiqua" w:hAnsi="Book Antiqua"/>
          <w:sz w:val="24"/>
          <w:szCs w:val="24"/>
          <w:lang w:val="id-ID"/>
        </w:rPr>
        <w:t xml:space="preserve">. Kemudian peneliti menganalisis skor kesejahteraan mental pada </w:t>
      </w:r>
      <w:r w:rsidR="0099631E" w:rsidRPr="004472FB">
        <w:rPr>
          <w:rFonts w:ascii="Book Antiqua" w:hAnsi="Book Antiqua"/>
          <w:sz w:val="24"/>
          <w:szCs w:val="24"/>
          <w:lang w:val="id-ID"/>
        </w:rPr>
        <w:t xml:space="preserve">94 </w:t>
      </w:r>
      <w:r w:rsidRPr="004472FB">
        <w:rPr>
          <w:rFonts w:ascii="Book Antiqua" w:hAnsi="Book Antiqua"/>
          <w:sz w:val="24"/>
          <w:szCs w:val="24"/>
          <w:lang w:val="id-ID"/>
        </w:rPr>
        <w:t>mahasiswa tersebut.</w:t>
      </w:r>
    </w:p>
    <w:p w14:paraId="69632C20" w14:textId="3BB5BFD7" w:rsidR="007B70A0" w:rsidRPr="004472FB" w:rsidRDefault="007B70A0" w:rsidP="004472FB">
      <w:pPr>
        <w:ind w:firstLine="709"/>
        <w:jc w:val="both"/>
        <w:rPr>
          <w:rFonts w:ascii="Book Antiqua" w:hAnsi="Book Antiqua"/>
          <w:sz w:val="24"/>
          <w:szCs w:val="24"/>
          <w:lang w:val="id-ID"/>
        </w:rPr>
      </w:pPr>
      <w:r w:rsidRPr="004472FB">
        <w:rPr>
          <w:rFonts w:ascii="Book Antiqua" w:hAnsi="Book Antiqua"/>
          <w:sz w:val="24"/>
          <w:szCs w:val="24"/>
          <w:lang w:val="id-ID"/>
        </w:rPr>
        <w:lastRenderedPageBreak/>
        <w:t xml:space="preserve">Pengumpulan data dilakukan secara serentak dalam satu waktu melalui penyebaran dua instrumen dalam bentuk kuesioner daring. Instrumen pertama adalah </w:t>
      </w:r>
      <w:r w:rsidRPr="004472FB">
        <w:rPr>
          <w:rFonts w:ascii="Book Antiqua" w:hAnsi="Book Antiqua"/>
          <w:i/>
          <w:iCs/>
          <w:sz w:val="24"/>
          <w:szCs w:val="24"/>
          <w:lang w:val="id-ID"/>
        </w:rPr>
        <w:t>Warwick-Edinburgh Mental Well-Being Scale</w:t>
      </w:r>
      <w:r w:rsidR="00440B56" w:rsidRPr="004472FB">
        <w:rPr>
          <w:rFonts w:ascii="Book Antiqua" w:hAnsi="Book Antiqua"/>
          <w:i/>
          <w:iCs/>
          <w:sz w:val="24"/>
          <w:szCs w:val="24"/>
          <w:lang w:val="id-ID"/>
        </w:rPr>
        <w:t xml:space="preserve"> </w:t>
      </w:r>
      <w:r w:rsidR="00440B56" w:rsidRPr="004472FB">
        <w:rPr>
          <w:rFonts w:ascii="Book Antiqua" w:hAnsi="Book Antiqua"/>
          <w:sz w:val="24"/>
          <w:szCs w:val="24"/>
          <w:lang w:val="id-ID"/>
        </w:rPr>
        <w:t>(WEMWBS)</w:t>
      </w:r>
      <w:r w:rsidRPr="004472FB">
        <w:rPr>
          <w:rFonts w:ascii="Book Antiqua" w:hAnsi="Book Antiqua"/>
          <w:sz w:val="24"/>
          <w:szCs w:val="24"/>
          <w:lang w:val="id-ID"/>
        </w:rPr>
        <w:t xml:space="preserve"> yang </w:t>
      </w:r>
      <w:r w:rsidR="00D2464E" w:rsidRPr="004472FB">
        <w:rPr>
          <w:rFonts w:ascii="Book Antiqua" w:hAnsi="Book Antiqua"/>
          <w:sz w:val="24"/>
          <w:szCs w:val="24"/>
          <w:lang w:val="id-ID"/>
        </w:rPr>
        <w:t xml:space="preserve">diadopsi dari penelitian </w:t>
      </w:r>
      <w:r w:rsidR="0055340E" w:rsidRPr="004472FB">
        <w:rPr>
          <w:rFonts w:ascii="Book Antiqua" w:hAnsi="Book Antiqua"/>
          <w:sz w:val="24"/>
          <w:szCs w:val="24"/>
          <w:lang w:val="id-ID"/>
        </w:rPr>
        <w:t xml:space="preserve">Aprilya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{"citationItems":[{"id":"ITEM-1","itemData":{"DOI":"10.65067/essgpd25","abstract":"Wounded inner child and mental well-being are two salient components of psychological health among university students that influence their capacity to adapt to academic demands and the developmental challenges of emerging adulthood. This study aimed to describe the prevalence of wounded inner child experiences among students and to examine their relationship with levels of mental well-being. Employing a correlational quantitative design, the research sampled 272 undergraduates and assessed childhood-derived wounds and mental well-being using standardized instruments. Results indicate a significant negative association between wounded inner child scores and mental well-being (r = –0.469), with the dimensions of shame/low self-worth, suppressed anger, and feelings of unlovability contributing most strongly to reduced well-being. These findings suggest that higher levels of wounded inner child experiences are associated with lower emotional and psychological well-being. Overall, the study underscores the importance of counseling interventions that target emotional wound repair and the strengthening of adaptive capacities to promote student mental-health in higher education settings.","author":[{"dropping-particle":"","family":"Aprilya","given":"Tasya","non-dropping-particle":"","parse-names":false,"suffix":""},{"dropping-particle":"","family":"Sugara","given":"Gian Sugiana","non-dropping-particle":"","parse-names":false,"suffix":""},{"dropping-particle":"","family":"Rahimsyah","given":"Anandha Putri","non-dropping-particle":"","parse-names":false,"suffix":""}],"container-title":"Journal of Mental Health and Well-Being in Counseling","id":"ITEM-1","issue":"1","issued":{"date-parts":[["2026"]]},"page":"11-21","title":"Wounded Inner Child Experiences and Mental Well-Being Among University Students: A Correlational Study","type":"article-journal","volume":"2"},"uris":["http://www.mendeley.com/documents/?uuid=3da63756-7f46-41fb-94b9-f55bfa4147d3"]}],"mendeley":{"formattedCitation":"[29]","plainTextFormattedCitation":"[29]","previouslyFormattedCitation":"[28]"},"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[29]</w:t>
      </w:r>
      <w:r w:rsidR="0055340E" w:rsidRPr="004472FB">
        <w:rPr>
          <w:rFonts w:ascii="Book Antiqua" w:hAnsi="Book Antiqua"/>
          <w:sz w:val="24"/>
          <w:szCs w:val="24"/>
          <w:lang w:val="id-ID"/>
        </w:rPr>
        <w:fldChar w:fldCharType="end"/>
      </w:r>
      <w:r w:rsidR="0055340E" w:rsidRPr="004472FB">
        <w:rPr>
          <w:rFonts w:ascii="Book Antiqua" w:hAnsi="Book Antiqua"/>
          <w:sz w:val="24"/>
          <w:szCs w:val="24"/>
          <w:lang w:val="id-ID"/>
        </w:rPr>
        <w:t xml:space="preserve"> </w:t>
      </w:r>
      <w:r w:rsidR="00D2464E" w:rsidRPr="004472FB">
        <w:rPr>
          <w:rFonts w:ascii="Book Antiqua" w:hAnsi="Book Antiqua"/>
          <w:sz w:val="24"/>
          <w:szCs w:val="24"/>
          <w:lang w:val="id-ID"/>
        </w:rPr>
        <w:t>untuk mengukur kesejahteraan mental mahasiswa.</w:t>
      </w:r>
      <w:r w:rsidR="00D74C0D" w:rsidRPr="004472FB">
        <w:rPr>
          <w:rFonts w:ascii="Book Antiqua" w:hAnsi="Book Antiqua"/>
          <w:sz w:val="24"/>
          <w:szCs w:val="24"/>
          <w:lang w:val="id-ID"/>
        </w:rPr>
        <w:t xml:space="preserve"> </w:t>
      </w:r>
      <w:r w:rsidR="00440B56" w:rsidRPr="004472FB">
        <w:rPr>
          <w:rFonts w:ascii="Book Antiqua" w:hAnsi="Book Antiqua"/>
          <w:sz w:val="24"/>
          <w:szCs w:val="24"/>
          <w:lang w:val="id-ID"/>
        </w:rPr>
        <w:t>WEMWBS terdiri dari 14 item pernyataan yang dinilai menggunakan skala Likert 1-5, dengan skor total berkisar antara 14 hingga 70</w:t>
      </w:r>
      <w:r w:rsidR="00D74C0D" w:rsidRPr="004472FB">
        <w:rPr>
          <w:rFonts w:ascii="Book Antiqua" w:hAnsi="Book Antiqua"/>
          <w:sz w:val="24"/>
          <w:szCs w:val="24"/>
          <w:lang w:val="id-ID"/>
        </w:rPr>
        <w:t xml:space="preserve"> </w:t>
      </w:r>
      <w:r w:rsidR="0055340E" w:rsidRPr="004472FB">
        <w:rPr>
          <w:rFonts w:ascii="Book Antiqua" w:hAnsi="Book Antiqua"/>
          <w:sz w:val="24"/>
          <w:szCs w:val="24"/>
          <w:lang w:val="id-ID"/>
        </w:rPr>
        <w:fldChar w:fldCharType="begin" w:fldLock="1"/>
      </w:r>
      <w:r w:rsidR="0055340E" w:rsidRPr="004472FB">
        <w:rPr>
          <w:rFonts w:ascii="Book Antiqua" w:hAnsi="Book Antiqua"/>
          <w:sz w:val="24"/>
          <w:szCs w:val="24"/>
          <w:lang w:val="id-ID"/>
        </w:rPr>
        <w:instrText>ADDIN CSL_CITATION {"citationItems":[{"id":"ITEM-1","itemData":{"DOI":"10.1186/1477-7525-5-63","ISSN":"14777525","PMID":"18042300","abstract":"Background: 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 Methods: WEMWBS was developed by an expert panel drawing on current academic literature, qualitative research with focus groups, and psychometric testing of an existing scale. It was validated on a student and representative population sample. Content validity was assessed by reviewing the frequency of complete responses and the distribution of responses to each item. Confirmatory factor analysis was used to test the hypothesis that the scale measured a single construct. Internal consistency was assessed using Cronbach's alpha. Criterion validity was explored in terms of correlations between WEMWBS and other scales and by testing whether the scale discriminated between population groups in line with pre-specified hypotheses. Test-retest reliability was assessed at one week using intra-class correlation coefficients. Susceptibility to bias was measured using the Balanced Inventory of Desired Responding. Results: WEMWBS showed good content validity. Confirmatory factor analysis supported the single factor hypothesis. A Cronbach's alpha score of 0.89 (student sample) and 0.91 (population sample) suggests some item redundancy in the scale. WEMWBS showed high correlations with other mental health and well-being scales and lower correlations with scales measuring overall health. Its distribution was near normal and the scale did not show ceiling effects in a population sample. It discriminated between population groups in a way that is largely consistent with the results of other population surveys. Test-retest reliability at one week was high (0.83). Social desirability bias was lower or similar to that of other comparable scales. Conclusion: WEMWBS is a measure of mental well-being focusing entirely on positive aspects of mental health. As a short and psychometrically robust scale, with no ceiling effects in a population sample, it offers promise as a tool for monitoring mental well-being at a population level. Whilst WEMWBS should appeal to those evaluating mental…","author":[{"dropping-particle":"","family":"Tennant","given":"Ruth","non-dropping-particle":"","parse-names":false,"suffix":""},{"dropping-particle":"","family":"Hiller","given":"Louise","non-dropping-particle":"","parse-names":false,"suffix":""},{"dropping-particle":"","family":"Fishwick","given":"Ruth","non-dropping-particle":"","parse-names":false,"suffix":""},{"dropping-particle":"","family":"Platt","given":"Stephen","non-dropping-particle":"","parse-names":false,"suffix":""},{"dropping-particle":"","family":"Joseph","given":"Stephen","non-dropping-particle":"","parse-names":false,"suffix":""},{"dropping-particle":"","family":"Weich","given":"Scott","non-dropping-particle":"","parse-names":false,"suffix":""},{"dropping-particle":"","family":"Parkinson","given":"Jane","non-dropping-particle":"","parse-names":false,"suffix":""},{"dropping-particle":"","family":"Secker","given":"Jenny","non-dropping-particle":"","parse-names":false,"suffix":""},{"dropping-particle":"","family":"Stewart-Brown","given":"Sarah","non-dropping-particle":"","parse-names":false,"suffix":""}],"container-title":"Health and Quality of Life Outcomes","id":"ITEM-1","issue":"1","issued":{"date-parts":[["2007"]]},"page":"63","title":"The Warwick-Dinburgh mental well-being scale (WEMWBS): Development and UK validation","type":"article-journal","volume":"5"},"uris":["http://www.mendeley.com/documents/?uuid=d7a41fb1-e6d9-4739-bb64-b7cd0433523d"]}],"mendeley":{"formattedCitation":"[17]","plainTextFormattedCitation":"[17]","previouslyFormattedCitation":"[17]"},"properties":{"noteIndex":0},"schema":"https://github.com/citation-style-language/schema/raw/master/csl-citation.json"}</w:instrText>
      </w:r>
      <w:r w:rsidR="0055340E" w:rsidRPr="004472FB">
        <w:rPr>
          <w:rFonts w:ascii="Book Antiqua" w:hAnsi="Book Antiqua"/>
          <w:sz w:val="24"/>
          <w:szCs w:val="24"/>
          <w:lang w:val="id-ID"/>
        </w:rPr>
        <w:fldChar w:fldCharType="separate"/>
      </w:r>
      <w:r w:rsidR="0055340E" w:rsidRPr="004472FB">
        <w:rPr>
          <w:rFonts w:ascii="Book Antiqua" w:hAnsi="Book Antiqua"/>
          <w:noProof/>
          <w:sz w:val="24"/>
          <w:szCs w:val="24"/>
          <w:lang w:val="id-ID"/>
        </w:rPr>
        <w:t>[17]</w:t>
      </w:r>
      <w:r w:rsidR="0055340E" w:rsidRPr="004472FB">
        <w:rPr>
          <w:rFonts w:ascii="Book Antiqua" w:hAnsi="Book Antiqua"/>
          <w:sz w:val="24"/>
          <w:szCs w:val="24"/>
          <w:lang w:val="id-ID"/>
        </w:rPr>
        <w:fldChar w:fldCharType="end"/>
      </w:r>
      <w:r w:rsidR="00440B56" w:rsidRPr="004472FB">
        <w:rPr>
          <w:rFonts w:ascii="Book Antiqua" w:hAnsi="Book Antiqua"/>
          <w:sz w:val="24"/>
          <w:szCs w:val="24"/>
          <w:lang w:val="id-ID"/>
        </w:rPr>
        <w:t xml:space="preserve">. Instrumen kedua adalah </w:t>
      </w:r>
      <w:r w:rsidR="00440B56" w:rsidRPr="004472FB">
        <w:rPr>
          <w:rFonts w:ascii="Book Antiqua" w:hAnsi="Book Antiqua"/>
          <w:i/>
          <w:iCs/>
          <w:sz w:val="24"/>
          <w:szCs w:val="24"/>
          <w:lang w:val="id-ID"/>
        </w:rPr>
        <w:t>Depression Anxiety Stress Scale-21</w:t>
      </w:r>
      <w:r w:rsidR="00440B56" w:rsidRPr="004472FB">
        <w:rPr>
          <w:rFonts w:ascii="Book Antiqua" w:hAnsi="Book Antiqua"/>
          <w:sz w:val="24"/>
          <w:szCs w:val="24"/>
          <w:lang w:val="id-ID"/>
        </w:rPr>
        <w:t xml:space="preserve"> (DASS-21) yang digunakan untuk mengukur tingkat kecemasan. </w:t>
      </w:r>
      <w:r w:rsidR="00F608D2" w:rsidRPr="004472FB">
        <w:rPr>
          <w:rFonts w:ascii="Book Antiqua" w:hAnsi="Book Antiqua"/>
          <w:sz w:val="24"/>
          <w:szCs w:val="24"/>
          <w:lang w:val="id-ID"/>
        </w:rPr>
        <w:t xml:space="preserve">Penelitian ini menggunakan DASS-21 versi Bahasa Indonesia yang telah diadaptasi dan divalidasi oleh </w:t>
      </w:r>
      <w:r w:rsidR="0055340E" w:rsidRPr="004472FB">
        <w:rPr>
          <w:rFonts w:ascii="Book Antiqua" w:hAnsi="Book Antiqua"/>
          <w:sz w:val="24"/>
          <w:szCs w:val="24"/>
          <w:lang w:val="id-ID"/>
        </w:rPr>
        <w:t xml:space="preserve">Ifdil et al.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{"citationItems":[{"id":"ITEM-1","itemData":{"DOI":"10.23916/0020200536840","ISBN":"0020200536840","ISSN":"2548-348X","abstract":"This study attempts to evaluate the Indonesian adaptation of the DASS-21, a scale adapted from Peter F. and Sydney H. Lovibond 1995 to assess levels of stress, anxiety, and depression. Multistage random sampling taking from 1478 Indonesian. Additionally, we use The Rasch measurement model to examine psychometric properties of DASS-21. The results indicate that the DASS-21 fulfills the psychometric measurement aspect by providing evidence as a valid and reliable instrument, with a very good item reliability value .99 and sufficient person reliability (.89), as well as a Cronbach alpha value KR-20. of .91, meaning that the quality of the items is very good for revealing depression, anxiety, and stress. Furthermore, the results are reinforced by the Principal Component Analysis (PCA) value to the residual of 39.7%, meaning that the items in DASS-21 are representative for measuring depression, anxiety, and stress. Therefore, it can be said that the DASS-21 is valid and reliable for assessing the levels of stress, anxiety, and depression. The Indonesian translation of the DASS-21 constructs can also be used to assess the stress, anxiety, and depression levels.","author":[{"dropping-particle":"","family":"Ifdil","given":"Ifdil","non-dropping-particle":"","parse-names":false,"suffix":""},{"dropping-particle":"","family":"Syahputra","given":"Yuda","non-dropping-particle":"","parse-names":false,"suffix":""},{"dropping-particle":"","family":"Fadli","given":"Rima Pratiwi","non-dropping-particle":"","parse-names":false,"suffix":""},{"dropping-particle":"","family":"Zola","given":"Nilma","non-dropping-particle":"","parse-names":false,"suffix":""},{"dropping-particle":"","family":"Putri","given":"Yola Eka","non-dropping-particle":"","parse-names":false,"suffix":""},{"dropping-particle":"","family":"Amalianita","given":"Berru","non-dropping-particle":"","parse-names":false,"suffix":""},{"dropping-particle":"","family":"Rangka","given":"Itsar Bolo","non-dropping-particle":"","parse-names":false,"suffix":""},{"dropping-particle":"","family":"Suranta","given":"Kadek","non-dropping-particle":"","parse-names":false,"suffix":""},{"dropping-particle":"","family":"Zatrahadi","given":"M. Fahli","non-dropping-particle":"","parse-names":false,"suffix":""},{"dropping-particle":"","family":"Sugara","given":"Gian Sugiana","non-dropping-particle":"","parse-names":false,"suffix":""},{"dropping-particle":"","family":"Situmorang","given":"Dominikus David Biondi","non-dropping-particle":"","parse-names":false,"suffix":""},{"dropping-particle":"","family":"Fitria","given":"Linda","non-dropping-particle":"","parse-names":false,"suffix":""}],"container-title":"COUNS-EDU: The International Journal of Counseling and Education","id":"ITEM-1","issue":"4","issued":{"date-parts":[["2020"]]},"page":"205-215","title":"The depression anxiety stress scales (DASS-21): an Indonesian validation measure of the depression anxiety stress","type":"article-journal","volume":"5"},"uris":["http://www.mendeley.com/documents/?uuid=df1b60e5-65b8-4f41-8877-cdd45311727d"]}],"mendeley":{"formattedCitation":"[30]","plainTextFormattedCitation":"[30]","previouslyFormattedCitation":"[29]"},"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[30]</w:t>
      </w:r>
      <w:r w:rsidR="0055340E" w:rsidRPr="004472FB">
        <w:rPr>
          <w:rFonts w:ascii="Book Antiqua" w:hAnsi="Book Antiqua"/>
          <w:sz w:val="24"/>
          <w:szCs w:val="24"/>
          <w:lang w:val="id-ID"/>
        </w:rPr>
        <w:fldChar w:fldCharType="end"/>
      </w:r>
      <w:r w:rsidR="0055340E" w:rsidRPr="004472FB">
        <w:rPr>
          <w:rFonts w:ascii="Book Antiqua" w:hAnsi="Book Antiqua"/>
          <w:sz w:val="24"/>
          <w:szCs w:val="24"/>
          <w:lang w:val="id-ID"/>
        </w:rPr>
        <w:t xml:space="preserve"> </w:t>
      </w:r>
      <w:r w:rsidR="00F608D2" w:rsidRPr="004472FB">
        <w:rPr>
          <w:rFonts w:ascii="Book Antiqua" w:hAnsi="Book Antiqua"/>
          <w:sz w:val="24"/>
          <w:szCs w:val="24"/>
          <w:lang w:val="id-ID"/>
        </w:rPr>
        <w:t xml:space="preserve">dari instrumen asli yang dikembangkan oleh Lovibond &amp; Lovibond </w:t>
      </w:r>
      <w:r w:rsidR="0055340E"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{"citationItems":[{"id":"ITEM-1","itemData":{"DOI":"10.1016/0005-7967(94)00075-U","ISBN":"9781119678816","abstract":"The psychometric properties of the Depression Anxiety Stress Scales (DASS) were evaluated in a normal sample of N = 717 who were also administered the Beck Depression Inventory (BDI) and the Beck Anxiety Inventory (BAI). The DASS was shown to possess satisfactory psychometric properties, and the factor structure was substantiated both by exploratory and confirmatory factor analysis. In comparison to the BDI and BAI, the DASS scales showed greater separation in factor loadings. The DASS Anxiety scale correlated 0.81 with the BAI, and the DASS Depression scale correlated 0.74 with the BDI. Factor analyses suggested that the BDI differs from the DASS Depression scale primarily in that the BDI includes items such as weight loss, insomnia, somatic preoccupation and irritability, which fail to discriminate between depression and other affective states. The factor structure of the combined BDI and BAI items was virtually identical to that reported by Beck for a sample of diagnosed depressed and anxious patients, supporting the view that these clinical states are more severe expressions of the same states that may be discerned in normals. Implications of the results for the conceptualisation of depression, anxiety and tension/stress are considered, and the utility of the DASS scales in discriminating between these constructs is discussed.","author":[{"dropping-particle":"","family":"Lovibond, P. F., &amp; Lovibond","given":"S. H","non-dropping-particle":"","parse-names":false,"suffix":""}],"container-title":"Behaviour research and therapy","id":"ITEM-1","issue":"3","issued":{"date-parts":[["1995"]]},"page":"335-343","title":"The structure of negative emotional states: Comparison of the Depression Anxiety Stress Scales (DASS) with the Beck Depression and Anxiety Inventories.","type":"article-journal","volume":"33"},"uris":["http://www.mendeley.com/documents/?uuid=8a0b28fe-bb67-425e-a4e3-2cc2c9a0efdc"]}],"mendeley":{"formattedCitation":"[31]","plainTextFormattedCitation":"[31]","previouslyFormattedCitation":"[30]"},"properties":{"noteIndex":0},"schema":"https://github.com/citation-style-language/schema/raw/master/csl-citation.json"}</w:instrText>
      </w:r>
      <w:r w:rsidR="0055340E"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[31]</w:t>
      </w:r>
      <w:r w:rsidR="0055340E" w:rsidRPr="004472FB">
        <w:rPr>
          <w:rFonts w:ascii="Book Antiqua" w:hAnsi="Book Antiqua"/>
          <w:sz w:val="24"/>
          <w:szCs w:val="24"/>
          <w:lang w:val="id-ID"/>
        </w:rPr>
        <w:fldChar w:fldCharType="end"/>
      </w:r>
      <w:r w:rsidR="00F608D2" w:rsidRPr="004472FB">
        <w:rPr>
          <w:rFonts w:ascii="Book Antiqua" w:hAnsi="Book Antiqua"/>
          <w:sz w:val="24"/>
          <w:szCs w:val="24"/>
          <w:lang w:val="id-ID"/>
        </w:rPr>
        <w:t xml:space="preserve">. </w:t>
      </w:r>
      <w:r w:rsidR="00440B56" w:rsidRPr="004472FB">
        <w:rPr>
          <w:rFonts w:ascii="Book Antiqua" w:hAnsi="Book Antiqua"/>
          <w:sz w:val="24"/>
          <w:szCs w:val="24"/>
          <w:lang w:val="id-ID"/>
        </w:rPr>
        <w:t>Subskala kecemasan DASS-21 terdiri dari 7 butir dengan skala respons 0-3, menghasilkan skor yang dikategorikan mulai dari normal, ringan, sedang, parah, dan sangat parah</w:t>
      </w:r>
      <w:r w:rsidR="00F608D2" w:rsidRPr="004472FB">
        <w:rPr>
          <w:rFonts w:ascii="Book Antiqua" w:hAnsi="Book Antiqua"/>
          <w:sz w:val="24"/>
          <w:szCs w:val="24"/>
          <w:lang w:val="id-ID"/>
        </w:rPr>
        <w:t>.</w:t>
      </w:r>
    </w:p>
    <w:p w14:paraId="10A68426" w14:textId="4C96D402" w:rsidR="00440B56" w:rsidRPr="004472FB" w:rsidRDefault="00440B56" w:rsidP="004472FB">
      <w:pPr>
        <w:ind w:firstLine="709"/>
        <w:jc w:val="both"/>
        <w:rPr>
          <w:rFonts w:ascii="Book Antiqua" w:hAnsi="Book Antiqua"/>
          <w:sz w:val="24"/>
          <w:szCs w:val="24"/>
          <w:lang w:val="id-ID"/>
        </w:rPr>
      </w:pPr>
      <w:r w:rsidRPr="004472FB">
        <w:rPr>
          <w:rFonts w:ascii="Book Antiqua" w:hAnsi="Book Antiqua"/>
          <w:sz w:val="24"/>
          <w:szCs w:val="24"/>
          <w:lang w:val="id-ID"/>
        </w:rPr>
        <w:t>Analisis data dilakukan menggunakan statistika deskriptif, mencakup perhitungan frekuensi, persentase, nilai rata-rata (</w:t>
      </w:r>
      <w:r w:rsidRPr="004472FB">
        <w:rPr>
          <w:rFonts w:ascii="Book Antiqua" w:hAnsi="Book Antiqua"/>
          <w:i/>
          <w:iCs/>
          <w:sz w:val="24"/>
          <w:szCs w:val="24"/>
          <w:lang w:val="id-ID"/>
        </w:rPr>
        <w:t>mean</w:t>
      </w:r>
      <w:r w:rsidRPr="004472FB">
        <w:rPr>
          <w:rFonts w:ascii="Book Antiqua" w:hAnsi="Book Antiqua"/>
          <w:sz w:val="24"/>
          <w:szCs w:val="24"/>
          <w:lang w:val="id-ID"/>
        </w:rPr>
        <w:t>), dan standar deviasi untuk menggambarkan distribusi skor kesejahteraan mental berdasarkan hasil kategori kecemasan responden. Ruang lingkup penelitian ini terbatas pada gambaran deskriptif dan tidak mencakup uji korelasi maupu</w:t>
      </w:r>
      <w:r w:rsidR="003A77B4" w:rsidRPr="004472FB">
        <w:rPr>
          <w:rFonts w:ascii="Book Antiqua" w:hAnsi="Book Antiqua"/>
          <w:sz w:val="24"/>
          <w:szCs w:val="24"/>
          <w:lang w:val="id-ID"/>
        </w:rPr>
        <w:t>n</w:t>
      </w:r>
      <w:r w:rsidRPr="004472FB">
        <w:rPr>
          <w:rFonts w:ascii="Book Antiqua" w:hAnsi="Book Antiqua"/>
          <w:sz w:val="24"/>
          <w:szCs w:val="24"/>
          <w:lang w:val="id-ID"/>
        </w:rPr>
        <w:t xml:space="preserve"> analisis inferensial lainnya.</w:t>
      </w:r>
    </w:p>
    <w:p w14:paraId="4DDCCD71" w14:textId="77777777" w:rsidR="007F38C0" w:rsidRPr="004472FB" w:rsidRDefault="007F38C0" w:rsidP="004472FB">
      <w:pPr>
        <w:ind w:left="1440" w:firstLine="720"/>
        <w:jc w:val="both"/>
        <w:rPr>
          <w:rFonts w:ascii="Book Antiqua" w:hAnsi="Book Antiqua"/>
          <w:sz w:val="24"/>
          <w:szCs w:val="24"/>
          <w:lang w:val="id-ID"/>
        </w:rPr>
      </w:pPr>
    </w:p>
    <w:p w14:paraId="2AC24DF4" w14:textId="77777777" w:rsidR="007F38C0" w:rsidRPr="004472FB" w:rsidRDefault="007F38C0" w:rsidP="004472FB">
      <w:pPr>
        <w:jc w:val="both"/>
        <w:rPr>
          <w:rFonts w:ascii="Book Antiqua" w:hAnsi="Book Antiqua"/>
          <w:b/>
          <w:bCs/>
          <w:sz w:val="24"/>
          <w:szCs w:val="24"/>
          <w:lang w:val="id-ID"/>
        </w:rPr>
      </w:pPr>
      <w:r w:rsidRPr="004472FB">
        <w:rPr>
          <w:rFonts w:ascii="Book Antiqua" w:hAnsi="Book Antiqua"/>
          <w:b/>
          <w:bCs/>
          <w:sz w:val="24"/>
          <w:szCs w:val="24"/>
          <w:lang w:val="id-ID"/>
        </w:rPr>
        <w:t>HASIL DAN PEMBAHASAN</w:t>
      </w:r>
    </w:p>
    <w:p w14:paraId="7B3564AD" w14:textId="18DA6662" w:rsidR="007F38C0" w:rsidRPr="004472FB" w:rsidRDefault="00B75011" w:rsidP="004472FB">
      <w:pPr>
        <w:ind w:firstLine="720"/>
        <w:jc w:val="both"/>
        <w:rPr>
          <w:rFonts w:ascii="Book Antiqua" w:hAnsi="Book Antiqua"/>
          <w:sz w:val="24"/>
          <w:szCs w:val="24"/>
          <w:lang w:val="id-ID"/>
        </w:rPr>
      </w:pPr>
      <w:r w:rsidRPr="004472FB">
        <w:rPr>
          <w:rFonts w:ascii="Book Antiqua" w:hAnsi="Book Antiqua"/>
          <w:sz w:val="24"/>
          <w:szCs w:val="24"/>
          <w:lang w:val="id-ID"/>
        </w:rPr>
        <w:t>Penelitian ini bertujuan untuk memperoleh gambaran tingkat kesejahteraan mental mahasiswa angkatan 2025 Universitas Muhammadiyah Tasikmalaya yang mengalami kecemasan. Data dikumpulkan dari 244 mahasiswa yang berasal dari Fakultas Ilmu Kesehatan, Fakultas Keguruan dan Ilmu Pendidikan, serta Fakultas Teknik. Dari jumlah tersebut, 94 mahasiswa teridentifikasi mengalami kecemasan pada kategori ringan hingga sangat parah dan menjadi fokus utama analisis kesejahteraan mental.</w:t>
      </w:r>
    </w:p>
    <w:p w14:paraId="0B9DF388" w14:textId="77777777" w:rsidR="007B697D" w:rsidRPr="004472FB" w:rsidRDefault="007B697D" w:rsidP="004472FB">
      <w:pPr>
        <w:ind w:firstLine="720"/>
        <w:jc w:val="both"/>
        <w:rPr>
          <w:rFonts w:ascii="Book Antiqua" w:hAnsi="Book Antiqua"/>
          <w:sz w:val="24"/>
          <w:szCs w:val="24"/>
          <w:lang w:val="id-ID"/>
        </w:rPr>
      </w:pPr>
    </w:p>
    <w:p w14:paraId="015D15DA" w14:textId="5FE0447F" w:rsidR="007F38C0" w:rsidRPr="004472FB" w:rsidRDefault="00B75011" w:rsidP="004472FB">
      <w:pPr>
        <w:jc w:val="both"/>
        <w:rPr>
          <w:rFonts w:ascii="Book Antiqua" w:hAnsi="Book Antiqua"/>
          <w:b/>
          <w:bCs/>
          <w:sz w:val="24"/>
          <w:szCs w:val="24"/>
          <w:lang w:val="id-ID"/>
        </w:rPr>
      </w:pPr>
      <w:r w:rsidRPr="004472FB">
        <w:rPr>
          <w:rFonts w:ascii="Book Antiqua" w:hAnsi="Book Antiqua"/>
          <w:b/>
          <w:bCs/>
          <w:sz w:val="24"/>
          <w:szCs w:val="24"/>
          <w:lang w:val="id-ID"/>
        </w:rPr>
        <w:t>Gambaran Umum Kecemasan pada Mahasiswa</w:t>
      </w:r>
    </w:p>
    <w:p w14:paraId="6B1C07FC" w14:textId="7213E338" w:rsidR="007F38C0" w:rsidRPr="004472FB" w:rsidRDefault="00B75011" w:rsidP="004472FB">
      <w:pPr>
        <w:ind w:firstLine="720"/>
        <w:jc w:val="both"/>
        <w:rPr>
          <w:rFonts w:ascii="Book Antiqua" w:hAnsi="Book Antiqua"/>
          <w:bCs/>
          <w:sz w:val="24"/>
          <w:szCs w:val="24"/>
          <w:lang w:val="id-ID"/>
        </w:rPr>
      </w:pPr>
      <w:r w:rsidRPr="004472FB">
        <w:rPr>
          <w:rFonts w:ascii="Book Antiqua" w:hAnsi="Book Antiqua"/>
          <w:bCs/>
          <w:sz w:val="24"/>
          <w:szCs w:val="24"/>
          <w:lang w:val="id-ID"/>
        </w:rPr>
        <w:t>Berdasarkan hasil pengumpulan data, analisis deskriptif tingkat kecemasan mahasiswa disajikan pada tabel berikut:</w:t>
      </w:r>
    </w:p>
    <w:p w14:paraId="7574B1F3" w14:textId="5FA83991" w:rsidR="00B75011" w:rsidRPr="00CC5C3C" w:rsidRDefault="00B75011" w:rsidP="004472FB">
      <w:pPr>
        <w:pStyle w:val="Caption"/>
        <w:spacing w:after="0"/>
        <w:jc w:val="center"/>
        <w:rPr>
          <w:rFonts w:ascii="Book Antiqua" w:hAnsi="Book Antiqua"/>
          <w:b/>
          <w:bCs/>
          <w:i w:val="0"/>
          <w:iCs w:val="0"/>
          <w:color w:val="auto"/>
          <w:sz w:val="22"/>
          <w:szCs w:val="22"/>
          <w:lang w:val="id-ID"/>
        </w:rPr>
      </w:pPr>
      <w:r w:rsidRPr="00CC5C3C">
        <w:rPr>
          <w:rFonts w:ascii="Book Antiqua" w:hAnsi="Book Antiqua"/>
          <w:b/>
          <w:bCs/>
          <w:i w:val="0"/>
          <w:iCs w:val="0"/>
          <w:color w:val="auto"/>
          <w:sz w:val="22"/>
          <w:szCs w:val="22"/>
          <w:lang w:val="id-ID"/>
        </w:rPr>
        <w:t xml:space="preserve">Tabel </w:t>
      </w:r>
      <w:r w:rsidRPr="00CC5C3C">
        <w:rPr>
          <w:rFonts w:ascii="Book Antiqua" w:hAnsi="Book Antiqua"/>
          <w:b/>
          <w:bCs/>
          <w:i w:val="0"/>
          <w:iCs w:val="0"/>
          <w:color w:val="auto"/>
          <w:sz w:val="22"/>
          <w:szCs w:val="22"/>
          <w:lang w:val="id-ID"/>
        </w:rPr>
        <w:fldChar w:fldCharType="begin"/>
      </w:r>
      <w:r w:rsidRPr="00CC5C3C">
        <w:rPr>
          <w:rFonts w:ascii="Book Antiqua" w:hAnsi="Book Antiqua"/>
          <w:b/>
          <w:bCs/>
          <w:i w:val="0"/>
          <w:iCs w:val="0"/>
          <w:color w:val="auto"/>
          <w:sz w:val="22"/>
          <w:szCs w:val="22"/>
          <w:lang w:val="id-ID"/>
        </w:rPr>
        <w:instrText xml:space="preserve"> SEQ Tabel \* ARABIC </w:instrText>
      </w:r>
      <w:r w:rsidRPr="00CC5C3C">
        <w:rPr>
          <w:rFonts w:ascii="Book Antiqua" w:hAnsi="Book Antiqua"/>
          <w:b/>
          <w:bCs/>
          <w:i w:val="0"/>
          <w:iCs w:val="0"/>
          <w:color w:val="auto"/>
          <w:sz w:val="22"/>
          <w:szCs w:val="22"/>
          <w:lang w:val="id-ID"/>
        </w:rPr>
        <w:fldChar w:fldCharType="separate"/>
      </w:r>
      <w:r w:rsidR="002C6A2B" w:rsidRPr="00CC5C3C">
        <w:rPr>
          <w:rFonts w:ascii="Book Antiqua" w:hAnsi="Book Antiqua"/>
          <w:b/>
          <w:bCs/>
          <w:i w:val="0"/>
          <w:iCs w:val="0"/>
          <w:noProof/>
          <w:color w:val="auto"/>
          <w:sz w:val="22"/>
          <w:szCs w:val="22"/>
          <w:lang w:val="id-ID"/>
        </w:rPr>
        <w:t>1</w:t>
      </w:r>
      <w:r w:rsidRPr="00CC5C3C">
        <w:rPr>
          <w:rFonts w:ascii="Book Antiqua" w:hAnsi="Book Antiqua"/>
          <w:b/>
          <w:bCs/>
          <w:i w:val="0"/>
          <w:iCs w:val="0"/>
          <w:color w:val="auto"/>
          <w:sz w:val="22"/>
          <w:szCs w:val="22"/>
          <w:lang w:val="id-ID"/>
        </w:rPr>
        <w:fldChar w:fldCharType="end"/>
      </w:r>
      <w:r w:rsidRPr="00CC5C3C">
        <w:rPr>
          <w:rFonts w:ascii="Book Antiqua" w:hAnsi="Book Antiqua"/>
          <w:b/>
          <w:bCs/>
          <w:i w:val="0"/>
          <w:iCs w:val="0"/>
          <w:color w:val="auto"/>
          <w:sz w:val="22"/>
          <w:szCs w:val="22"/>
          <w:lang w:val="id-ID"/>
        </w:rPr>
        <w:t>. Statistik Deskriptif Kecemasan pada Mahasiswa</w:t>
      </w:r>
    </w:p>
    <w:tbl>
      <w:tblPr>
        <w:tblStyle w:val="PlainTable2"/>
        <w:tblW w:w="0" w:type="auto"/>
        <w:jc w:val="center"/>
        <w:tblLook w:val="04A0" w:firstRow="1" w:lastRow="0" w:firstColumn="1" w:lastColumn="0" w:noHBand="0" w:noVBand="1"/>
      </w:tblPr>
      <w:tblGrid>
        <w:gridCol w:w="2692"/>
        <w:gridCol w:w="1703"/>
      </w:tblGrid>
      <w:tr w:rsidR="00B75011" w:rsidRPr="00CC5C3C" w14:paraId="2D64CC71" w14:textId="77777777" w:rsidTr="00B750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5281C538" w14:textId="1DB93B84" w:rsidR="00B75011" w:rsidRPr="00CC5C3C" w:rsidRDefault="00B75011" w:rsidP="004472FB">
            <w:pPr>
              <w:jc w:val="center"/>
              <w:rPr>
                <w:rFonts w:ascii="Book Antiqua" w:hAnsi="Book Antiqua"/>
                <w:sz w:val="22"/>
                <w:szCs w:val="22"/>
                <w:lang w:val="id-ID"/>
              </w:rPr>
            </w:pPr>
            <w:r w:rsidRPr="00CC5C3C">
              <w:rPr>
                <w:rFonts w:ascii="Book Antiqua" w:hAnsi="Book Antiqua"/>
                <w:sz w:val="22"/>
                <w:szCs w:val="22"/>
                <w:lang w:val="id-ID"/>
              </w:rPr>
              <w:t>Deskripsi</w:t>
            </w:r>
          </w:p>
        </w:tc>
        <w:tc>
          <w:tcPr>
            <w:tcW w:w="1703" w:type="dxa"/>
          </w:tcPr>
          <w:p w14:paraId="5777E3A3" w14:textId="59E9BC8A" w:rsidR="00B75011" w:rsidRPr="00CC5C3C" w:rsidRDefault="00B75011" w:rsidP="004472FB">
            <w:pPr>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Skor</w:t>
            </w:r>
          </w:p>
        </w:tc>
      </w:tr>
      <w:tr w:rsidR="00B75011" w:rsidRPr="00CC5C3C" w14:paraId="346608CE" w14:textId="77777777" w:rsidTr="00B750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0F03D7EE" w14:textId="0231500C"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Skor Minimum</w:t>
            </w:r>
          </w:p>
        </w:tc>
        <w:tc>
          <w:tcPr>
            <w:tcW w:w="1703" w:type="dxa"/>
          </w:tcPr>
          <w:p w14:paraId="217F86E0" w14:textId="76F2E427" w:rsidR="00B75011" w:rsidRPr="00CC5C3C" w:rsidRDefault="00B75011"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0</w:t>
            </w:r>
          </w:p>
        </w:tc>
      </w:tr>
      <w:tr w:rsidR="00B75011" w:rsidRPr="00CC5C3C" w14:paraId="29EB1545" w14:textId="77777777" w:rsidTr="00B75011">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496CA0F9" w14:textId="645855D7"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Skor Maksimum</w:t>
            </w:r>
          </w:p>
        </w:tc>
        <w:tc>
          <w:tcPr>
            <w:tcW w:w="1703" w:type="dxa"/>
          </w:tcPr>
          <w:p w14:paraId="67685E00" w14:textId="102C28EA" w:rsidR="00B75011" w:rsidRPr="00CC5C3C" w:rsidRDefault="00B75011"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21</w:t>
            </w:r>
          </w:p>
        </w:tc>
      </w:tr>
      <w:tr w:rsidR="00B75011" w:rsidRPr="00CC5C3C" w14:paraId="611ACCCA" w14:textId="77777777" w:rsidTr="00B750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3A9BC7CA" w14:textId="5C60F21B"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Rata-Rata</w:t>
            </w:r>
          </w:p>
        </w:tc>
        <w:tc>
          <w:tcPr>
            <w:tcW w:w="1703" w:type="dxa"/>
          </w:tcPr>
          <w:p w14:paraId="054C746A" w14:textId="08E4DBAB" w:rsidR="00B75011" w:rsidRPr="00CC5C3C" w:rsidRDefault="00B75011"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7,35</w:t>
            </w:r>
          </w:p>
        </w:tc>
      </w:tr>
      <w:tr w:rsidR="00B75011" w:rsidRPr="00CC5C3C" w14:paraId="7386606A" w14:textId="77777777" w:rsidTr="00B75011">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5C2F49C2" w14:textId="5B355ECC"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Median</w:t>
            </w:r>
          </w:p>
        </w:tc>
        <w:tc>
          <w:tcPr>
            <w:tcW w:w="1703" w:type="dxa"/>
          </w:tcPr>
          <w:p w14:paraId="1D2D724B" w14:textId="4ECBD509" w:rsidR="00B75011" w:rsidRPr="00CC5C3C" w:rsidRDefault="00B75011"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7</w:t>
            </w:r>
          </w:p>
        </w:tc>
      </w:tr>
      <w:tr w:rsidR="00B75011" w:rsidRPr="00CC5C3C" w14:paraId="615AD916" w14:textId="77777777" w:rsidTr="00B750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4A6F932F" w14:textId="1BAC0E73"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Modus</w:t>
            </w:r>
          </w:p>
        </w:tc>
        <w:tc>
          <w:tcPr>
            <w:tcW w:w="1703" w:type="dxa"/>
          </w:tcPr>
          <w:p w14:paraId="356E3E5A" w14:textId="7CB890A9" w:rsidR="00B75011" w:rsidRPr="00CC5C3C" w:rsidRDefault="00B75011"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7</w:t>
            </w:r>
          </w:p>
        </w:tc>
      </w:tr>
      <w:tr w:rsidR="00B75011" w:rsidRPr="00CC5C3C" w14:paraId="7BD6185D" w14:textId="77777777" w:rsidTr="00B75011">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052DB30E" w14:textId="1BD81BED" w:rsidR="00B75011" w:rsidRPr="00CC5C3C" w:rsidRDefault="00B75011"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Standar Deviasi</w:t>
            </w:r>
          </w:p>
        </w:tc>
        <w:tc>
          <w:tcPr>
            <w:tcW w:w="1703" w:type="dxa"/>
          </w:tcPr>
          <w:p w14:paraId="453ACCF8" w14:textId="2BFC19E5" w:rsidR="00B75011" w:rsidRPr="00CC5C3C" w:rsidRDefault="00B75011"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4,01</w:t>
            </w:r>
          </w:p>
        </w:tc>
      </w:tr>
    </w:tbl>
    <w:p w14:paraId="2D6B4CCE" w14:textId="77777777" w:rsidR="007F38C0" w:rsidRPr="00CC5C3C" w:rsidRDefault="007F38C0" w:rsidP="004472FB">
      <w:pPr>
        <w:jc w:val="both"/>
        <w:rPr>
          <w:rFonts w:ascii="Book Antiqua" w:hAnsi="Book Antiqua"/>
          <w:b/>
          <w:bCs/>
          <w:sz w:val="12"/>
          <w:szCs w:val="12"/>
          <w:lang w:val="id-ID"/>
        </w:rPr>
      </w:pPr>
    </w:p>
    <w:p w14:paraId="61517A75" w14:textId="4A3D266E" w:rsidR="00E85AEA" w:rsidRPr="004472FB" w:rsidRDefault="00B75011" w:rsidP="004472FB">
      <w:pPr>
        <w:ind w:firstLine="709"/>
        <w:jc w:val="both"/>
        <w:rPr>
          <w:rFonts w:ascii="Book Antiqua" w:hAnsi="Book Antiqua"/>
          <w:sz w:val="24"/>
          <w:szCs w:val="24"/>
          <w:lang w:val="id-ID"/>
        </w:rPr>
      </w:pPr>
      <w:r w:rsidRPr="004472FB">
        <w:rPr>
          <w:rFonts w:ascii="Book Antiqua" w:hAnsi="Book Antiqua"/>
          <w:sz w:val="24"/>
          <w:szCs w:val="24"/>
          <w:lang w:val="id-ID"/>
        </w:rPr>
        <w:t>Hasil perhitungan me</w:t>
      </w:r>
      <w:r w:rsidR="003A77B4" w:rsidRPr="004472FB">
        <w:rPr>
          <w:rFonts w:ascii="Book Antiqua" w:hAnsi="Book Antiqua"/>
          <w:sz w:val="24"/>
          <w:szCs w:val="24"/>
          <w:lang w:val="id-ID"/>
        </w:rPr>
        <w:t>n</w:t>
      </w:r>
      <w:r w:rsidRPr="004472FB">
        <w:rPr>
          <w:rFonts w:ascii="Book Antiqua" w:hAnsi="Book Antiqua"/>
          <w:sz w:val="24"/>
          <w:szCs w:val="24"/>
          <w:lang w:val="id-ID"/>
        </w:rPr>
        <w:t xml:space="preserve">unjukkan bahwa </w:t>
      </w:r>
      <w:r w:rsidR="00886204" w:rsidRPr="004472FB">
        <w:rPr>
          <w:rFonts w:ascii="Book Antiqua" w:hAnsi="Book Antiqua"/>
          <w:sz w:val="24"/>
          <w:szCs w:val="24"/>
          <w:lang w:val="id-ID"/>
        </w:rPr>
        <w:t>skor minimum kecemasan mahasiswa sebesar 0 dan skor maksimum sebesar 21. Nilai rata-rata (</w:t>
      </w:r>
      <w:r w:rsidR="00886204" w:rsidRPr="004472FB">
        <w:rPr>
          <w:rFonts w:ascii="Book Antiqua" w:hAnsi="Book Antiqua"/>
          <w:i/>
          <w:iCs/>
          <w:sz w:val="24"/>
          <w:szCs w:val="24"/>
          <w:lang w:val="id-ID"/>
        </w:rPr>
        <w:t>mean</w:t>
      </w:r>
      <w:r w:rsidR="00886204" w:rsidRPr="004472FB">
        <w:rPr>
          <w:rFonts w:ascii="Book Antiqua" w:hAnsi="Book Antiqua"/>
          <w:sz w:val="24"/>
          <w:szCs w:val="24"/>
          <w:lang w:val="id-ID"/>
        </w:rPr>
        <w:t xml:space="preserve">) kecemasan diperoleh sebesar 7,35, dengan median 7, modus 7, dan standar deviasi sebesar 4,01. Kesamaan nilai median dan modus menunjukkan bahwa sebagian besar mahasiswa memiliki tingkat kecemasan yang berada pada skor 7. Adapun </w:t>
      </w:r>
      <w:r w:rsidR="00886204" w:rsidRPr="004472FB">
        <w:rPr>
          <w:rFonts w:ascii="Book Antiqua" w:hAnsi="Book Antiqua"/>
          <w:sz w:val="24"/>
          <w:szCs w:val="24"/>
          <w:lang w:val="id-ID"/>
        </w:rPr>
        <w:lastRenderedPageBreak/>
        <w:t>gambaran umum kecemasan mahasiswa berdasarkan hasil penyebaran instrumen disajikan pada tabel berikut:</w:t>
      </w:r>
    </w:p>
    <w:p w14:paraId="51A933D4" w14:textId="0362EC74" w:rsidR="00886204" w:rsidRPr="00CC5C3C" w:rsidRDefault="00886204" w:rsidP="004472FB">
      <w:pPr>
        <w:pStyle w:val="Caption"/>
        <w:spacing w:after="0"/>
        <w:jc w:val="center"/>
        <w:rPr>
          <w:rFonts w:ascii="Book Antiqua" w:hAnsi="Book Antiqua"/>
          <w:b/>
          <w:bCs/>
          <w:i w:val="0"/>
          <w:iCs w:val="0"/>
          <w:color w:val="auto"/>
          <w:sz w:val="22"/>
          <w:szCs w:val="22"/>
          <w:lang w:val="id-ID"/>
        </w:rPr>
      </w:pPr>
      <w:r w:rsidRPr="00CC5C3C">
        <w:rPr>
          <w:rFonts w:ascii="Book Antiqua" w:hAnsi="Book Antiqua"/>
          <w:b/>
          <w:bCs/>
          <w:i w:val="0"/>
          <w:iCs w:val="0"/>
          <w:color w:val="auto"/>
          <w:sz w:val="22"/>
          <w:szCs w:val="22"/>
          <w:lang w:val="id-ID"/>
        </w:rPr>
        <w:t xml:space="preserve">Tabel </w:t>
      </w:r>
      <w:r w:rsidRPr="00CC5C3C">
        <w:rPr>
          <w:rFonts w:ascii="Book Antiqua" w:hAnsi="Book Antiqua"/>
          <w:b/>
          <w:bCs/>
          <w:i w:val="0"/>
          <w:iCs w:val="0"/>
          <w:color w:val="auto"/>
          <w:sz w:val="22"/>
          <w:szCs w:val="22"/>
          <w:lang w:val="id-ID"/>
        </w:rPr>
        <w:fldChar w:fldCharType="begin"/>
      </w:r>
      <w:r w:rsidRPr="00CC5C3C">
        <w:rPr>
          <w:rFonts w:ascii="Book Antiqua" w:hAnsi="Book Antiqua"/>
          <w:b/>
          <w:bCs/>
          <w:i w:val="0"/>
          <w:iCs w:val="0"/>
          <w:color w:val="auto"/>
          <w:sz w:val="22"/>
          <w:szCs w:val="22"/>
          <w:lang w:val="id-ID"/>
        </w:rPr>
        <w:instrText xml:space="preserve"> SEQ Tabel \* ARABIC </w:instrText>
      </w:r>
      <w:r w:rsidRPr="00CC5C3C">
        <w:rPr>
          <w:rFonts w:ascii="Book Antiqua" w:hAnsi="Book Antiqua"/>
          <w:b/>
          <w:bCs/>
          <w:i w:val="0"/>
          <w:iCs w:val="0"/>
          <w:color w:val="auto"/>
          <w:sz w:val="22"/>
          <w:szCs w:val="22"/>
          <w:lang w:val="id-ID"/>
        </w:rPr>
        <w:fldChar w:fldCharType="separate"/>
      </w:r>
      <w:r w:rsidR="002C6A2B" w:rsidRPr="00CC5C3C">
        <w:rPr>
          <w:rFonts w:ascii="Book Antiqua" w:hAnsi="Book Antiqua"/>
          <w:b/>
          <w:bCs/>
          <w:i w:val="0"/>
          <w:iCs w:val="0"/>
          <w:noProof/>
          <w:color w:val="auto"/>
          <w:sz w:val="22"/>
          <w:szCs w:val="22"/>
          <w:lang w:val="id-ID"/>
        </w:rPr>
        <w:t>2</w:t>
      </w:r>
      <w:r w:rsidRPr="00CC5C3C">
        <w:rPr>
          <w:rFonts w:ascii="Book Antiqua" w:hAnsi="Book Antiqua"/>
          <w:b/>
          <w:bCs/>
          <w:i w:val="0"/>
          <w:iCs w:val="0"/>
          <w:color w:val="auto"/>
          <w:sz w:val="22"/>
          <w:szCs w:val="22"/>
          <w:lang w:val="id-ID"/>
        </w:rPr>
        <w:fldChar w:fldCharType="end"/>
      </w:r>
      <w:r w:rsidRPr="00CC5C3C">
        <w:rPr>
          <w:rFonts w:ascii="Book Antiqua" w:hAnsi="Book Antiqua"/>
          <w:b/>
          <w:bCs/>
          <w:i w:val="0"/>
          <w:iCs w:val="0"/>
          <w:color w:val="auto"/>
          <w:sz w:val="22"/>
          <w:szCs w:val="22"/>
          <w:lang w:val="id-ID"/>
        </w:rPr>
        <w:t>. Gambaran Umum Kecemasan pada Mahasiswa</w:t>
      </w:r>
    </w:p>
    <w:tbl>
      <w:tblPr>
        <w:tblStyle w:val="TableGrid"/>
        <w:tblW w:w="0" w:type="auto"/>
        <w:jc w:val="center"/>
        <w:tblLook w:val="04A0" w:firstRow="1" w:lastRow="0" w:firstColumn="1" w:lastColumn="0" w:noHBand="0" w:noVBand="1"/>
      </w:tblPr>
      <w:tblGrid>
        <w:gridCol w:w="1843"/>
        <w:gridCol w:w="1836"/>
        <w:gridCol w:w="1708"/>
        <w:gridCol w:w="1417"/>
      </w:tblGrid>
      <w:tr w:rsidR="00886204" w:rsidRPr="00CC5C3C" w14:paraId="0384226A" w14:textId="77777777" w:rsidTr="00535ED7">
        <w:trPr>
          <w:jc w:val="center"/>
        </w:trPr>
        <w:tc>
          <w:tcPr>
            <w:tcW w:w="1843" w:type="dxa"/>
            <w:vAlign w:val="center"/>
          </w:tcPr>
          <w:p w14:paraId="03DBAA2F" w14:textId="332FF93C" w:rsidR="00886204" w:rsidRPr="00CC5C3C" w:rsidRDefault="00886204" w:rsidP="004472FB">
            <w:pPr>
              <w:jc w:val="center"/>
              <w:rPr>
                <w:rFonts w:ascii="Book Antiqua" w:hAnsi="Book Antiqua"/>
                <w:b/>
                <w:bCs/>
                <w:sz w:val="22"/>
                <w:szCs w:val="22"/>
                <w:lang w:val="id-ID"/>
              </w:rPr>
            </w:pPr>
            <w:r w:rsidRPr="00CC5C3C">
              <w:rPr>
                <w:rFonts w:ascii="Book Antiqua" w:hAnsi="Book Antiqua"/>
                <w:b/>
                <w:bCs/>
                <w:sz w:val="22"/>
                <w:szCs w:val="22"/>
                <w:lang w:val="id-ID"/>
              </w:rPr>
              <w:t>Rentang Skor</w:t>
            </w:r>
          </w:p>
        </w:tc>
        <w:tc>
          <w:tcPr>
            <w:tcW w:w="1836" w:type="dxa"/>
            <w:vAlign w:val="center"/>
          </w:tcPr>
          <w:p w14:paraId="1D1C8AE4" w14:textId="6B4AB9C4" w:rsidR="00886204" w:rsidRPr="00CC5C3C" w:rsidRDefault="00886204" w:rsidP="004472FB">
            <w:pPr>
              <w:jc w:val="center"/>
              <w:rPr>
                <w:rFonts w:ascii="Book Antiqua" w:hAnsi="Book Antiqua"/>
                <w:b/>
                <w:bCs/>
                <w:sz w:val="22"/>
                <w:szCs w:val="22"/>
                <w:lang w:val="id-ID"/>
              </w:rPr>
            </w:pPr>
            <w:r w:rsidRPr="00CC5C3C">
              <w:rPr>
                <w:rFonts w:ascii="Book Antiqua" w:hAnsi="Book Antiqua"/>
                <w:b/>
                <w:bCs/>
                <w:sz w:val="22"/>
                <w:szCs w:val="22"/>
                <w:lang w:val="id-ID"/>
              </w:rPr>
              <w:t>Kriteria</w:t>
            </w:r>
          </w:p>
        </w:tc>
        <w:tc>
          <w:tcPr>
            <w:tcW w:w="1708" w:type="dxa"/>
            <w:vAlign w:val="center"/>
          </w:tcPr>
          <w:p w14:paraId="6B09210C" w14:textId="14DFFDD4" w:rsidR="00886204" w:rsidRPr="00CC5C3C" w:rsidRDefault="00886204" w:rsidP="004472FB">
            <w:pPr>
              <w:jc w:val="center"/>
              <w:rPr>
                <w:rFonts w:ascii="Book Antiqua" w:hAnsi="Book Antiqua"/>
                <w:b/>
                <w:bCs/>
                <w:sz w:val="22"/>
                <w:szCs w:val="22"/>
                <w:lang w:val="id-ID"/>
              </w:rPr>
            </w:pPr>
            <w:r w:rsidRPr="00CC5C3C">
              <w:rPr>
                <w:rFonts w:ascii="Book Antiqua" w:hAnsi="Book Antiqua"/>
                <w:b/>
                <w:bCs/>
                <w:sz w:val="22"/>
                <w:szCs w:val="22"/>
                <w:lang w:val="id-ID"/>
              </w:rPr>
              <w:t>Frekuensi</w:t>
            </w:r>
          </w:p>
        </w:tc>
        <w:tc>
          <w:tcPr>
            <w:tcW w:w="1417" w:type="dxa"/>
            <w:vAlign w:val="center"/>
          </w:tcPr>
          <w:p w14:paraId="5845A97E" w14:textId="7019598C" w:rsidR="00886204" w:rsidRPr="00CC5C3C" w:rsidRDefault="00886204" w:rsidP="004472FB">
            <w:pPr>
              <w:jc w:val="center"/>
              <w:rPr>
                <w:rFonts w:ascii="Book Antiqua" w:hAnsi="Book Antiqua"/>
                <w:b/>
                <w:bCs/>
                <w:sz w:val="22"/>
                <w:szCs w:val="22"/>
                <w:lang w:val="id-ID"/>
              </w:rPr>
            </w:pPr>
            <w:r w:rsidRPr="00CC5C3C">
              <w:rPr>
                <w:rFonts w:ascii="Book Antiqua" w:hAnsi="Book Antiqua"/>
                <w:b/>
                <w:bCs/>
                <w:sz w:val="22"/>
                <w:szCs w:val="22"/>
                <w:lang w:val="id-ID"/>
              </w:rPr>
              <w:t>Persentase</w:t>
            </w:r>
          </w:p>
        </w:tc>
      </w:tr>
      <w:tr w:rsidR="00886204" w:rsidRPr="00CC5C3C" w14:paraId="663421FF" w14:textId="77777777" w:rsidTr="00535ED7">
        <w:trPr>
          <w:jc w:val="center"/>
        </w:trPr>
        <w:tc>
          <w:tcPr>
            <w:tcW w:w="1843" w:type="dxa"/>
            <w:vAlign w:val="center"/>
          </w:tcPr>
          <w:p w14:paraId="7F28F59A" w14:textId="06F57F46"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0 – 7</w:t>
            </w:r>
          </w:p>
        </w:tc>
        <w:tc>
          <w:tcPr>
            <w:tcW w:w="1836" w:type="dxa"/>
            <w:vAlign w:val="center"/>
          </w:tcPr>
          <w:p w14:paraId="6162FE84" w14:textId="327D8DDD"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Normal</w:t>
            </w:r>
          </w:p>
        </w:tc>
        <w:tc>
          <w:tcPr>
            <w:tcW w:w="1708" w:type="dxa"/>
            <w:vAlign w:val="center"/>
          </w:tcPr>
          <w:p w14:paraId="2DCB0B9C" w14:textId="0D2097BE"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150</w:t>
            </w:r>
          </w:p>
        </w:tc>
        <w:tc>
          <w:tcPr>
            <w:tcW w:w="1417" w:type="dxa"/>
            <w:vAlign w:val="center"/>
          </w:tcPr>
          <w:p w14:paraId="61892A99" w14:textId="15EB013F"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61,48%</w:t>
            </w:r>
          </w:p>
        </w:tc>
      </w:tr>
      <w:tr w:rsidR="00886204" w:rsidRPr="00CC5C3C" w14:paraId="372B0110" w14:textId="77777777" w:rsidTr="00535ED7">
        <w:trPr>
          <w:jc w:val="center"/>
        </w:trPr>
        <w:tc>
          <w:tcPr>
            <w:tcW w:w="1843" w:type="dxa"/>
            <w:vAlign w:val="center"/>
          </w:tcPr>
          <w:p w14:paraId="79091B7C" w14:textId="4F4F318F"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8 – 9</w:t>
            </w:r>
          </w:p>
        </w:tc>
        <w:tc>
          <w:tcPr>
            <w:tcW w:w="1836" w:type="dxa"/>
            <w:vAlign w:val="center"/>
          </w:tcPr>
          <w:p w14:paraId="6D705ACE" w14:textId="7900E891"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Ringan</w:t>
            </w:r>
          </w:p>
        </w:tc>
        <w:tc>
          <w:tcPr>
            <w:tcW w:w="1708" w:type="dxa"/>
            <w:vAlign w:val="center"/>
          </w:tcPr>
          <w:p w14:paraId="0A588D4C" w14:textId="122F2389"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39</w:t>
            </w:r>
          </w:p>
        </w:tc>
        <w:tc>
          <w:tcPr>
            <w:tcW w:w="1417" w:type="dxa"/>
            <w:vAlign w:val="center"/>
          </w:tcPr>
          <w:p w14:paraId="023144DA" w14:textId="66EEC31C"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15,98%</w:t>
            </w:r>
          </w:p>
        </w:tc>
      </w:tr>
      <w:tr w:rsidR="00886204" w:rsidRPr="00CC5C3C" w14:paraId="6D7F6878" w14:textId="77777777" w:rsidTr="00535ED7">
        <w:trPr>
          <w:jc w:val="center"/>
        </w:trPr>
        <w:tc>
          <w:tcPr>
            <w:tcW w:w="1843" w:type="dxa"/>
            <w:vAlign w:val="center"/>
          </w:tcPr>
          <w:p w14:paraId="07D4A08E" w14:textId="08A34C59"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10 – 14</w:t>
            </w:r>
          </w:p>
        </w:tc>
        <w:tc>
          <w:tcPr>
            <w:tcW w:w="1836" w:type="dxa"/>
            <w:vAlign w:val="center"/>
          </w:tcPr>
          <w:p w14:paraId="0320149F" w14:textId="6BE87618"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Sedang</w:t>
            </w:r>
          </w:p>
        </w:tc>
        <w:tc>
          <w:tcPr>
            <w:tcW w:w="1708" w:type="dxa"/>
            <w:vAlign w:val="center"/>
          </w:tcPr>
          <w:p w14:paraId="00C3D19C" w14:textId="18D20962"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42</w:t>
            </w:r>
          </w:p>
        </w:tc>
        <w:tc>
          <w:tcPr>
            <w:tcW w:w="1417" w:type="dxa"/>
            <w:vAlign w:val="center"/>
          </w:tcPr>
          <w:p w14:paraId="734D09D7" w14:textId="3A6D89DB"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17,21%</w:t>
            </w:r>
          </w:p>
        </w:tc>
      </w:tr>
      <w:tr w:rsidR="00886204" w:rsidRPr="00CC5C3C" w14:paraId="1F755F56" w14:textId="77777777" w:rsidTr="00535ED7">
        <w:trPr>
          <w:jc w:val="center"/>
        </w:trPr>
        <w:tc>
          <w:tcPr>
            <w:tcW w:w="1843" w:type="dxa"/>
            <w:vAlign w:val="center"/>
          </w:tcPr>
          <w:p w14:paraId="4BD7BBDA" w14:textId="07702271"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15 – 19</w:t>
            </w:r>
          </w:p>
        </w:tc>
        <w:tc>
          <w:tcPr>
            <w:tcW w:w="1836" w:type="dxa"/>
            <w:vAlign w:val="center"/>
          </w:tcPr>
          <w:p w14:paraId="2E4E8891" w14:textId="23E7DF04"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Parah</w:t>
            </w:r>
          </w:p>
        </w:tc>
        <w:tc>
          <w:tcPr>
            <w:tcW w:w="1708" w:type="dxa"/>
            <w:vAlign w:val="center"/>
          </w:tcPr>
          <w:p w14:paraId="15D9EB82" w14:textId="4DAF65FC"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11</w:t>
            </w:r>
          </w:p>
        </w:tc>
        <w:tc>
          <w:tcPr>
            <w:tcW w:w="1417" w:type="dxa"/>
            <w:vAlign w:val="center"/>
          </w:tcPr>
          <w:p w14:paraId="642CA2FB" w14:textId="49105110"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4,51%</w:t>
            </w:r>
          </w:p>
        </w:tc>
      </w:tr>
      <w:tr w:rsidR="00886204" w:rsidRPr="00CC5C3C" w14:paraId="40DB2A8F" w14:textId="77777777" w:rsidTr="00535ED7">
        <w:trPr>
          <w:jc w:val="center"/>
        </w:trPr>
        <w:tc>
          <w:tcPr>
            <w:tcW w:w="1843" w:type="dxa"/>
            <w:vAlign w:val="center"/>
          </w:tcPr>
          <w:p w14:paraId="74D72C26" w14:textId="2E5844E7"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20+</w:t>
            </w:r>
          </w:p>
        </w:tc>
        <w:tc>
          <w:tcPr>
            <w:tcW w:w="1836" w:type="dxa"/>
            <w:vAlign w:val="center"/>
          </w:tcPr>
          <w:p w14:paraId="7DC599B3" w14:textId="608DBCCB"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Sangat Parah</w:t>
            </w:r>
          </w:p>
        </w:tc>
        <w:tc>
          <w:tcPr>
            <w:tcW w:w="1708" w:type="dxa"/>
            <w:vAlign w:val="center"/>
          </w:tcPr>
          <w:p w14:paraId="20A65773" w14:textId="5CE8417F"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2</w:t>
            </w:r>
          </w:p>
        </w:tc>
        <w:tc>
          <w:tcPr>
            <w:tcW w:w="1417" w:type="dxa"/>
            <w:vAlign w:val="center"/>
          </w:tcPr>
          <w:p w14:paraId="28758E27" w14:textId="7F6C16E1"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0,82%</w:t>
            </w:r>
          </w:p>
        </w:tc>
      </w:tr>
      <w:tr w:rsidR="00886204" w:rsidRPr="00CC5C3C" w14:paraId="241582D2" w14:textId="77777777" w:rsidTr="00535ED7">
        <w:trPr>
          <w:jc w:val="center"/>
        </w:trPr>
        <w:tc>
          <w:tcPr>
            <w:tcW w:w="3679" w:type="dxa"/>
            <w:gridSpan w:val="2"/>
            <w:vAlign w:val="center"/>
          </w:tcPr>
          <w:p w14:paraId="5C7318F8" w14:textId="7C5CEC88" w:rsidR="00886204" w:rsidRPr="00CC5C3C" w:rsidRDefault="00886204" w:rsidP="004472FB">
            <w:pPr>
              <w:jc w:val="center"/>
              <w:rPr>
                <w:rFonts w:ascii="Book Antiqua" w:hAnsi="Book Antiqua"/>
                <w:b/>
                <w:bCs/>
                <w:sz w:val="22"/>
                <w:szCs w:val="22"/>
                <w:lang w:val="id-ID"/>
              </w:rPr>
            </w:pPr>
            <w:r w:rsidRPr="00CC5C3C">
              <w:rPr>
                <w:rFonts w:ascii="Book Antiqua" w:hAnsi="Book Antiqua"/>
                <w:b/>
                <w:bCs/>
                <w:sz w:val="22"/>
                <w:szCs w:val="22"/>
                <w:lang w:val="id-ID"/>
              </w:rPr>
              <w:t>Jumlah</w:t>
            </w:r>
          </w:p>
        </w:tc>
        <w:tc>
          <w:tcPr>
            <w:tcW w:w="1708" w:type="dxa"/>
            <w:vAlign w:val="center"/>
          </w:tcPr>
          <w:p w14:paraId="4691D1A9" w14:textId="2C4738A9"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244</w:t>
            </w:r>
          </w:p>
        </w:tc>
        <w:tc>
          <w:tcPr>
            <w:tcW w:w="1417" w:type="dxa"/>
            <w:vAlign w:val="center"/>
          </w:tcPr>
          <w:p w14:paraId="63252BFD" w14:textId="430EC28B" w:rsidR="00886204" w:rsidRPr="00CC5C3C" w:rsidRDefault="00886204" w:rsidP="004472FB">
            <w:pPr>
              <w:jc w:val="center"/>
              <w:rPr>
                <w:rFonts w:ascii="Book Antiqua" w:hAnsi="Book Antiqua"/>
                <w:sz w:val="22"/>
                <w:szCs w:val="22"/>
                <w:lang w:val="id-ID"/>
              </w:rPr>
            </w:pPr>
            <w:r w:rsidRPr="00CC5C3C">
              <w:rPr>
                <w:rFonts w:ascii="Book Antiqua" w:hAnsi="Book Antiqua"/>
                <w:sz w:val="22"/>
                <w:szCs w:val="22"/>
                <w:lang w:val="id-ID"/>
              </w:rPr>
              <w:t>100%</w:t>
            </w:r>
          </w:p>
        </w:tc>
      </w:tr>
    </w:tbl>
    <w:p w14:paraId="2E31E16C" w14:textId="77777777" w:rsidR="00886204" w:rsidRPr="00CC5C3C" w:rsidRDefault="00886204" w:rsidP="004472FB">
      <w:pPr>
        <w:jc w:val="both"/>
        <w:rPr>
          <w:rFonts w:ascii="Book Antiqua" w:hAnsi="Book Antiqua"/>
          <w:sz w:val="8"/>
          <w:szCs w:val="8"/>
          <w:lang w:val="id-ID"/>
        </w:rPr>
      </w:pPr>
    </w:p>
    <w:p w14:paraId="73E64D7D" w14:textId="3E763386" w:rsidR="00535ED7" w:rsidRPr="004472FB" w:rsidRDefault="00535ED7" w:rsidP="004472FB">
      <w:pPr>
        <w:ind w:firstLine="709"/>
        <w:jc w:val="both"/>
        <w:rPr>
          <w:rFonts w:ascii="Book Antiqua" w:hAnsi="Book Antiqua"/>
          <w:sz w:val="24"/>
          <w:szCs w:val="24"/>
          <w:lang w:val="id-ID"/>
        </w:rPr>
      </w:pPr>
      <w:r w:rsidRPr="004472FB">
        <w:rPr>
          <w:rFonts w:ascii="Book Antiqua" w:hAnsi="Book Antiqua"/>
          <w:sz w:val="24"/>
          <w:szCs w:val="24"/>
          <w:lang w:val="id-ID"/>
        </w:rPr>
        <w:t>Berdasarkan hasil analisis deskriptif menunjukkan bahwa</w:t>
      </w:r>
      <w:r w:rsidR="0001771B" w:rsidRPr="004472FB">
        <w:rPr>
          <w:rFonts w:ascii="Book Antiqua" w:hAnsi="Book Antiqua"/>
          <w:sz w:val="24"/>
          <w:szCs w:val="24"/>
          <w:lang w:val="id-ID"/>
        </w:rPr>
        <w:t xml:space="preserve"> dari 244 mahasiswa, diketahui terdapat 150 mahasiswa (61,48%) berada pada kategori kecemasan normal. Sementara itu, sebanyak 39 mahasiswa (15,98%) berada pada kategori ringan, 42 mahasiswa (17,21%) berada pada kategori sedang, 11 mahasiswa (4,51%) berada pada kategori parah, dan 2 mahasiswa (0,82%) berada pada kategori sangat parah.</w:t>
      </w:r>
    </w:p>
    <w:p w14:paraId="1FBAC9BE" w14:textId="77777777" w:rsidR="00CC5C3C" w:rsidRDefault="00947D0F"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Secara keseluruhan, dapat disimpulkan bahwa mayoritas mahasiswa Universitas Muhammadiyah Tasikmalaya angkatan 2025 berada pada kategori normal dalam kecemasan. Temuan ini menunjukkan bahwa sebagian besar mahasiswa mampu beradaptasi dengan berbagai tuntutan akademik maupun nonakademik yang dihadapi selama masa perkuliahan. Namun demikian, masih terdapat 94 mahasiswa yang berada pada kategori </w:t>
      </w:r>
      <w:r w:rsidR="00397AD5" w:rsidRPr="004472FB">
        <w:rPr>
          <w:rFonts w:ascii="Book Antiqua" w:hAnsi="Book Antiqua"/>
          <w:sz w:val="24"/>
          <w:szCs w:val="24"/>
          <w:lang w:val="id-ID"/>
        </w:rPr>
        <w:t>r</w:t>
      </w:r>
      <w:r w:rsidRPr="004472FB">
        <w:rPr>
          <w:rFonts w:ascii="Book Antiqua" w:hAnsi="Book Antiqua"/>
          <w:sz w:val="24"/>
          <w:szCs w:val="24"/>
          <w:lang w:val="id-ID"/>
        </w:rPr>
        <w:t>ingan hingga sangat parah. Hasil tersebut menunjukkan bahwa sebagian mahasiswa masih mengalami kesulitan dalam mengelola tekanan akademik maupun tuntutan dari lingkungan perkuliahan.</w:t>
      </w:r>
    </w:p>
    <w:p w14:paraId="7E0C9848" w14:textId="56629A00" w:rsidR="00947D0F" w:rsidRPr="004472FB" w:rsidRDefault="00947D0F" w:rsidP="004472FB">
      <w:pPr>
        <w:ind w:firstLine="709"/>
        <w:jc w:val="both"/>
        <w:rPr>
          <w:rFonts w:ascii="Book Antiqua" w:hAnsi="Book Antiqua"/>
          <w:sz w:val="24"/>
          <w:szCs w:val="24"/>
          <w:lang w:val="id-ID"/>
        </w:rPr>
      </w:pPr>
      <w:r w:rsidRPr="004472FB">
        <w:rPr>
          <w:rFonts w:ascii="Book Antiqua" w:hAnsi="Book Antiqua"/>
          <w:sz w:val="24"/>
          <w:szCs w:val="24"/>
          <w:lang w:val="id-ID"/>
        </w:rPr>
        <w:t xml:space="preserve"> Temuan ini sejalan dengan penelitian sebelumnya yang menunjukkan bahwa masa transisi yang dialami mahasiswa dalam proses adaptasi terhadap lingkungan dan tuntutan di perguruan tinggi berpotensi menimbulkan kecemasan pada mahasiswa baru </w:t>
      </w:r>
      <w:r w:rsidR="00CF2110"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{"citationItems":[{"id":"ITEM-1","itemData":{"DOI":"10.33508/exp.v13i1.6027","ISSN":"2087-4774","abstract":"Masa transisi yang dialami oleh mahasiswa baru membawa berbagai perubahan yang dapat mengacu pada kecemasan. Hal tersebut berkaitan dengan self-efficacy, dimana mahasiswa baru yang memiliki self-efficacy yang baik akan mampu untuk mengatasi berbagai permasalahan tersebut. Penelitian ini bertujuan untuk mengetahui hubungan antara self-efficacy dengan kecemasan pada mahasiswa baru. Pengambilan data menggunakan jenis metode kuantitatif dengan desain cross sectional study dan didapatkan sebanyak 101 responden dari mahasiswa baru. Variabel self-efficacy diukur menggunakan General Self Efficacy Scale milik Matthias Jerusalem dan Ralf Schwarzer, sedangkan variabel kecemasan diukur melalui Zung Self Rating Anxiety Scale milik William Zung (1971). Hasil uji hipotesis menunjukkan bahwa terdapat hubungan antara self-efficacy dengan kecemasan pada mahasiswa baru (r = -0,460 ; p &lt; 0,001). Sebagian besar responden memiliki kecemasan normal (63,4%), lalu kecemasan ringan (35,6%), kecemasan sedang (1%), dan kecemasan berat (0%). Sedangkan untuk variabel self-efficacy, mayoritas pada kategori sedang (67,3%), kemudian self-efficacy kategori tinggi (17,9%), dan self-efficacy rendah (14,9%). Berdasarkan hasil penelitian didapatkan hasil bahwa self-efficacy memiliki hubungan dengan kecemasan pada mahasiswa baru dengan keeratan sedang. Selain itu, penelitian ini membuktikan bahwa mahasiswa baru yang memiliki self-efficacy rendah akan semakin tinggi kecenderungan mahasiswa baru untuk mengalami kecemasan.","author":[{"dropping-particle":"","family":"Putri, A. M., Hardiyanti, N. Z., &amp; Larasati","given":"W. D.","non-dropping-particle":"","parse-names":false,"suffix":""}],"container-title":"EXPERIENTIA: Jurnal Psikologi Indonesia","id":"ITEM-1","issue":"1","issued":{"date-parts":[["2025"]]},"page":"95-109","title":"Hubungan Antara Self Efficacy Dengan Kecemasan Pada Mahasiswa Baru","type":"article-journal","volume":"13"},"uris":["http://www.mendeley.com/documents/?uuid=5926d0d1-c5bc-4643-829b-daf9b20e3029"]}],"mendeley":{"formattedCitation":"[32]","plainTextFormattedCitation":"[32]","previouslyFormattedCitation":"[31]"},"properties":{"noteIndex":0},"schema":"https://github.com/citation-style-language/schema/raw/master/csl-citation.json"}</w:instrText>
      </w:r>
      <w:r w:rsidR="00CF2110"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[32]</w:t>
      </w:r>
      <w:r w:rsidR="00CF2110" w:rsidRPr="004472FB">
        <w:rPr>
          <w:rFonts w:ascii="Book Antiqua" w:hAnsi="Book Antiqua"/>
          <w:sz w:val="24"/>
          <w:szCs w:val="24"/>
          <w:lang w:val="id-ID"/>
        </w:rPr>
        <w:fldChar w:fldCharType="end"/>
      </w:r>
      <w:r w:rsidRPr="004472FB">
        <w:rPr>
          <w:rFonts w:ascii="Book Antiqua" w:hAnsi="Book Antiqua"/>
          <w:sz w:val="24"/>
          <w:szCs w:val="24"/>
          <w:lang w:val="id-ID"/>
        </w:rPr>
        <w:t xml:space="preserve">. Kondisi tersebut perlu mendapatkan perhatian karena kecemasan yang berlangsung secara terus-menerus berpotensi mengganggu konsentrasi belajar, menurunkan performa akademik, dan memengaruhi kesejahteraan mental mahasiswa </w:t>
      </w:r>
      <w:r w:rsidR="00CF2110" w:rsidRPr="004472FB">
        <w:rPr>
          <w:rFonts w:ascii="Book Antiqua" w:hAnsi="Book Antiqua"/>
          <w:sz w:val="24"/>
          <w:szCs w:val="24"/>
          <w:lang w:val="id-ID"/>
        </w:rPr>
        <w:fldChar w:fldCharType="begin" w:fldLock="1"/>
      </w:r>
      <w:r w:rsidR="007E278B" w:rsidRPr="004472FB">
        <w:rPr>
          <w:rFonts w:ascii="Book Antiqua" w:hAnsi="Book Antiqua"/>
          <w:sz w:val="24"/>
          <w:szCs w:val="24"/>
          <w:lang w:val="id-ID"/>
        </w:rPr>
        <w:instrText>ADDIN CSL_CITATION {"citationItems":[{"id":"ITEM-1","itemData":{"DOI":"10.1186/s40359-024-02177-8","ISBN":"4035902402177","ISSN":"20507283","PMID":"39574182","abstract":"The present study examined the psychometric properties of the Short Warwick-Edinburgh Mental Well-being Scale (SWEMWBS). A total of 742 Italian participants (84.6% female), with a mean age of 33.08 years (SD = 12.44) took part in a cross-sectional survey study. Confirmatory factor analysis and Rasch analysis were used to examine the psychometric properties. The CFA showed that the SWEMWBS had a unidimensional structure with robust psychometric properties and showed good internal consistencies (Cronbach’s alpha 0.88; McDonald’s omega 0.91). Overall, most items showed no substantial differential item functioning in the Rasch analysis, except for Item 7, indicating that female participants reported more difficulty with this item than the male participants. The SWEMWBS was positively associated with life satisfaction and negativity associated with general psychological distress (i.e., anxiety, stress, and depression). In sum, the SWEMWBS showed robust psychometric properties capable of assessing positive aspects of mental health and well-being among Italian-speaking adults.","author":[{"dropping-particle":"","family":"Soraci","given":"Paolo","non-dropping-particle":"","parse-names":false,"suffix":""},{"dropping-particle":"","family":"Bevan","given":"Nadia","non-dropping-particle":"","parse-names":false,"suffix":""},{"dropping-particle":"","family":"Griffiths","given":"Mark D.","non-dropping-particle":"","parse-names":false,"suffix":""},{"dropping-particle":"","family":"Pisanti","given":"Renato","non-dropping-particle":"","parse-names":false,"suffix":""},{"dropping-particle":"","family":"Servidio","given":"Rocco","non-dropping-particle":"","parse-names":false,"suffix":""},{"dropping-particle":"","family":"Ferrari","given":"Ambra","non-dropping-particle":"","parse-names":false,"suffix":""},{"dropping-particle":"","family":"Bernardo","given":"Carla","non-dropping-particle":"Di","parse-names":false,"suffix":""},{"dropping-particle":"","family":"Pakpour","given":"Amir H.","non-dropping-particle":"","parse-names":false,"suffix":""}],"container-title":"BMC Psychology","id":"ITEM-1","issue":"1","issued":{"date-parts":[["2024"]]},"page":"680","publisher":"BioMed Central","title":"The Short Warwick-Edinburgh Mental Well-being Scale (SWEMWBS): an Italian validation using confirmatory factor analysis and Rasch analysis","type":"article-journal","volume":"12"},"uris":["http://www.mendeley.com/documents/?uuid=34890d53-9409-49f7-8314-388abf98a7b2"]}],"mendeley":{"formattedCitation":"[10]","plainTextFormattedCitation":"[10]","previouslyFormattedCitation":"[10]"},"properties":{"noteIndex":0},"schema":"https://github.com/citation-style-language/schema/raw/master/csl-citation.json"}</w:instrText>
      </w:r>
      <w:r w:rsidR="00CF2110" w:rsidRPr="004472FB">
        <w:rPr>
          <w:rFonts w:ascii="Book Antiqua" w:hAnsi="Book Antiqua"/>
          <w:sz w:val="24"/>
          <w:szCs w:val="24"/>
          <w:lang w:val="id-ID"/>
        </w:rPr>
        <w:fldChar w:fldCharType="separate"/>
      </w:r>
      <w:r w:rsidR="00CF2110" w:rsidRPr="004472FB">
        <w:rPr>
          <w:rFonts w:ascii="Book Antiqua" w:hAnsi="Book Antiqua"/>
          <w:noProof/>
          <w:sz w:val="24"/>
          <w:szCs w:val="24"/>
          <w:lang w:val="id-ID"/>
        </w:rPr>
        <w:t>[10]</w:t>
      </w:r>
      <w:r w:rsidR="00CF2110" w:rsidRPr="004472FB">
        <w:rPr>
          <w:rFonts w:ascii="Book Antiqua" w:hAnsi="Book Antiqua"/>
          <w:sz w:val="24"/>
          <w:szCs w:val="24"/>
          <w:lang w:val="id-ID"/>
        </w:rPr>
        <w:fldChar w:fldCharType="end"/>
      </w:r>
      <w:r w:rsidRPr="004472FB">
        <w:rPr>
          <w:rFonts w:ascii="Book Antiqua" w:hAnsi="Book Antiqua"/>
          <w:sz w:val="24"/>
          <w:szCs w:val="24"/>
          <w:lang w:val="id-ID"/>
        </w:rPr>
        <w:t>. Temuan ini mengindikasikan perlunya upaya preventif, kuratif, dan pengembangan layanan bimbingan dan konseling untuk membantu mahasiswa meningkatkan kemampuan mengelola kecemasan, mengembangkan strategi koping yang adaptif, dan menjaga kesehatan mental dalam menghadapi berbagai tuntutan dalam kehidupan.</w:t>
      </w:r>
    </w:p>
    <w:p w14:paraId="4D015DE4" w14:textId="77777777" w:rsidR="00B75011" w:rsidRPr="004472FB" w:rsidRDefault="00B75011" w:rsidP="004472FB">
      <w:pPr>
        <w:jc w:val="both"/>
        <w:rPr>
          <w:rFonts w:ascii="Book Antiqua" w:hAnsi="Book Antiqua"/>
          <w:sz w:val="24"/>
          <w:szCs w:val="24"/>
          <w:lang w:val="id-ID"/>
        </w:rPr>
      </w:pPr>
    </w:p>
    <w:p w14:paraId="086E3C67" w14:textId="2D08F7E2" w:rsidR="007F38C0" w:rsidRPr="004472FB" w:rsidRDefault="006E5BD8" w:rsidP="004472FB">
      <w:pPr>
        <w:jc w:val="both"/>
        <w:rPr>
          <w:rFonts w:ascii="Book Antiqua" w:hAnsi="Book Antiqua"/>
          <w:b/>
          <w:bCs/>
          <w:sz w:val="24"/>
          <w:szCs w:val="24"/>
          <w:lang w:val="id-ID"/>
        </w:rPr>
      </w:pPr>
      <w:r w:rsidRPr="004472FB">
        <w:rPr>
          <w:rFonts w:ascii="Book Antiqua" w:hAnsi="Book Antiqua"/>
          <w:b/>
          <w:bCs/>
          <w:sz w:val="24"/>
          <w:szCs w:val="24"/>
          <w:lang w:val="id-ID"/>
        </w:rPr>
        <w:t>Gambaran Umum Kesejahteraan Mental pada Mahasiswa yang Mengalami Kecemasan</w:t>
      </w:r>
    </w:p>
    <w:p w14:paraId="080FEC6D" w14:textId="31A17E8A" w:rsidR="007F38C0" w:rsidRPr="004472FB" w:rsidRDefault="006E5BD8" w:rsidP="004472FB">
      <w:pPr>
        <w:ind w:firstLine="720"/>
        <w:jc w:val="both"/>
        <w:rPr>
          <w:rFonts w:ascii="Book Antiqua" w:hAnsi="Book Antiqua"/>
          <w:bCs/>
          <w:sz w:val="24"/>
          <w:szCs w:val="24"/>
          <w:lang w:val="id-ID"/>
        </w:rPr>
      </w:pPr>
      <w:r w:rsidRPr="004472FB">
        <w:rPr>
          <w:rFonts w:ascii="Book Antiqua" w:hAnsi="Book Antiqua"/>
          <w:bCs/>
          <w:sz w:val="24"/>
          <w:szCs w:val="24"/>
          <w:lang w:val="id-ID"/>
        </w:rPr>
        <w:t xml:space="preserve">Analisis juga dilakukan untuk </w:t>
      </w:r>
      <w:r w:rsidR="00A72F4F" w:rsidRPr="004472FB">
        <w:rPr>
          <w:rFonts w:ascii="Book Antiqua" w:hAnsi="Book Antiqua"/>
          <w:bCs/>
          <w:sz w:val="24"/>
          <w:szCs w:val="24"/>
          <w:lang w:val="id-ID"/>
        </w:rPr>
        <w:t>mengetahui gambaran kesejahteraan mental pada mahasiswa yang mengalami kecemasan. Berdasarkan hasil pengumpulan data terhadap 94 mahasiswa yang berada pada kategori kecemasan ringan hingga sangat parah, diperoleh hasil statistik deskriptif kesejahteraan mental mahasiswa yang mengalami kecemasan sebagaimana disajikan pada tabel berikut:</w:t>
      </w:r>
    </w:p>
    <w:p w14:paraId="60B1BEBE" w14:textId="77777777" w:rsidR="00CC5C3C" w:rsidRDefault="00A72F4F" w:rsidP="004472FB">
      <w:pPr>
        <w:pStyle w:val="Caption"/>
        <w:spacing w:after="0"/>
        <w:jc w:val="center"/>
        <w:rPr>
          <w:rFonts w:ascii="Book Antiqua" w:hAnsi="Book Antiqua"/>
          <w:b/>
          <w:bCs/>
          <w:i w:val="0"/>
          <w:iCs w:val="0"/>
          <w:color w:val="auto"/>
          <w:sz w:val="22"/>
          <w:szCs w:val="22"/>
          <w:lang w:val="id-ID"/>
        </w:rPr>
      </w:pPr>
      <w:r w:rsidRPr="00CC5C3C">
        <w:rPr>
          <w:rFonts w:ascii="Book Antiqua" w:hAnsi="Book Antiqua"/>
          <w:b/>
          <w:bCs/>
          <w:i w:val="0"/>
          <w:iCs w:val="0"/>
          <w:color w:val="auto"/>
          <w:sz w:val="22"/>
          <w:szCs w:val="22"/>
          <w:lang w:val="id-ID"/>
        </w:rPr>
        <w:lastRenderedPageBreak/>
        <w:t xml:space="preserve">Tabel </w:t>
      </w:r>
      <w:r w:rsidRPr="00CC5C3C">
        <w:rPr>
          <w:rFonts w:ascii="Book Antiqua" w:hAnsi="Book Antiqua"/>
          <w:b/>
          <w:bCs/>
          <w:i w:val="0"/>
          <w:iCs w:val="0"/>
          <w:color w:val="auto"/>
          <w:sz w:val="22"/>
          <w:szCs w:val="22"/>
          <w:lang w:val="id-ID"/>
        </w:rPr>
        <w:fldChar w:fldCharType="begin"/>
      </w:r>
      <w:r w:rsidRPr="00CC5C3C">
        <w:rPr>
          <w:rFonts w:ascii="Book Antiqua" w:hAnsi="Book Antiqua"/>
          <w:b/>
          <w:bCs/>
          <w:i w:val="0"/>
          <w:iCs w:val="0"/>
          <w:color w:val="auto"/>
          <w:sz w:val="22"/>
          <w:szCs w:val="22"/>
          <w:lang w:val="id-ID"/>
        </w:rPr>
        <w:instrText xml:space="preserve"> SEQ Tabel \* ARABIC </w:instrText>
      </w:r>
      <w:r w:rsidRPr="00CC5C3C">
        <w:rPr>
          <w:rFonts w:ascii="Book Antiqua" w:hAnsi="Book Antiqua"/>
          <w:b/>
          <w:bCs/>
          <w:i w:val="0"/>
          <w:iCs w:val="0"/>
          <w:color w:val="auto"/>
          <w:sz w:val="22"/>
          <w:szCs w:val="22"/>
          <w:lang w:val="id-ID"/>
        </w:rPr>
        <w:fldChar w:fldCharType="separate"/>
      </w:r>
      <w:r w:rsidR="002C6A2B" w:rsidRPr="00CC5C3C">
        <w:rPr>
          <w:rFonts w:ascii="Book Antiqua" w:hAnsi="Book Antiqua"/>
          <w:b/>
          <w:bCs/>
          <w:i w:val="0"/>
          <w:iCs w:val="0"/>
          <w:noProof/>
          <w:color w:val="auto"/>
          <w:sz w:val="22"/>
          <w:szCs w:val="22"/>
          <w:lang w:val="id-ID"/>
        </w:rPr>
        <w:t>3</w:t>
      </w:r>
      <w:r w:rsidRPr="00CC5C3C">
        <w:rPr>
          <w:rFonts w:ascii="Book Antiqua" w:hAnsi="Book Antiqua"/>
          <w:b/>
          <w:bCs/>
          <w:i w:val="0"/>
          <w:iCs w:val="0"/>
          <w:color w:val="auto"/>
          <w:sz w:val="22"/>
          <w:szCs w:val="22"/>
          <w:lang w:val="id-ID"/>
        </w:rPr>
        <w:fldChar w:fldCharType="end"/>
      </w:r>
      <w:r w:rsidRPr="00CC5C3C">
        <w:rPr>
          <w:rFonts w:ascii="Book Antiqua" w:hAnsi="Book Antiqua"/>
          <w:b/>
          <w:bCs/>
          <w:i w:val="0"/>
          <w:iCs w:val="0"/>
          <w:color w:val="auto"/>
          <w:sz w:val="22"/>
          <w:szCs w:val="22"/>
          <w:lang w:val="id-ID"/>
        </w:rPr>
        <w:t xml:space="preserve">. Statistik Deskriptif Kesejahteraan Mental Mahasiswa </w:t>
      </w:r>
    </w:p>
    <w:p w14:paraId="24BA9571" w14:textId="5BDA4C66" w:rsidR="00A72F4F" w:rsidRPr="00CC5C3C" w:rsidRDefault="00A72F4F" w:rsidP="004472FB">
      <w:pPr>
        <w:pStyle w:val="Caption"/>
        <w:spacing w:after="0"/>
        <w:jc w:val="center"/>
        <w:rPr>
          <w:rFonts w:ascii="Book Antiqua" w:hAnsi="Book Antiqua"/>
          <w:b/>
          <w:bCs/>
          <w:i w:val="0"/>
          <w:iCs w:val="0"/>
          <w:color w:val="auto"/>
          <w:sz w:val="22"/>
          <w:szCs w:val="22"/>
          <w:lang w:val="id-ID"/>
        </w:rPr>
      </w:pPr>
      <w:r w:rsidRPr="00CC5C3C">
        <w:rPr>
          <w:rFonts w:ascii="Book Antiqua" w:hAnsi="Book Antiqua"/>
          <w:b/>
          <w:bCs/>
          <w:i w:val="0"/>
          <w:iCs w:val="0"/>
          <w:color w:val="auto"/>
          <w:sz w:val="22"/>
          <w:szCs w:val="22"/>
          <w:lang w:val="id-ID"/>
        </w:rPr>
        <w:t>yang Mengalami Kecemasan</w:t>
      </w:r>
    </w:p>
    <w:tbl>
      <w:tblPr>
        <w:tblStyle w:val="PlainTable2"/>
        <w:tblW w:w="0" w:type="auto"/>
        <w:jc w:val="center"/>
        <w:tblLook w:val="04A0" w:firstRow="1" w:lastRow="0" w:firstColumn="1" w:lastColumn="0" w:noHBand="0" w:noVBand="1"/>
      </w:tblPr>
      <w:tblGrid>
        <w:gridCol w:w="2692"/>
        <w:gridCol w:w="1703"/>
      </w:tblGrid>
      <w:tr w:rsidR="00A72F4F" w:rsidRPr="00CC5C3C" w14:paraId="1B7FF5EC" w14:textId="77777777" w:rsidTr="005D61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016A26DD" w14:textId="77777777" w:rsidR="00A72F4F" w:rsidRPr="00CC5C3C" w:rsidRDefault="00A72F4F" w:rsidP="004472FB">
            <w:pPr>
              <w:jc w:val="center"/>
              <w:rPr>
                <w:rFonts w:ascii="Book Antiqua" w:hAnsi="Book Antiqua"/>
                <w:sz w:val="22"/>
                <w:szCs w:val="22"/>
                <w:lang w:val="id-ID"/>
              </w:rPr>
            </w:pPr>
            <w:r w:rsidRPr="00CC5C3C">
              <w:rPr>
                <w:rFonts w:ascii="Book Antiqua" w:hAnsi="Book Antiqua"/>
                <w:sz w:val="22"/>
                <w:szCs w:val="22"/>
                <w:lang w:val="id-ID"/>
              </w:rPr>
              <w:t>Deskripsi</w:t>
            </w:r>
          </w:p>
        </w:tc>
        <w:tc>
          <w:tcPr>
            <w:tcW w:w="1703" w:type="dxa"/>
          </w:tcPr>
          <w:p w14:paraId="60619AE4" w14:textId="77777777" w:rsidR="00A72F4F" w:rsidRPr="00CC5C3C" w:rsidRDefault="00A72F4F" w:rsidP="004472FB">
            <w:pPr>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Skor</w:t>
            </w:r>
          </w:p>
        </w:tc>
      </w:tr>
      <w:tr w:rsidR="00A72F4F" w:rsidRPr="00CC5C3C" w14:paraId="726DCC2E" w14:textId="77777777" w:rsidTr="005D6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170A1C8E"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Skor Minimum</w:t>
            </w:r>
          </w:p>
        </w:tc>
        <w:tc>
          <w:tcPr>
            <w:tcW w:w="1703" w:type="dxa"/>
          </w:tcPr>
          <w:p w14:paraId="79F62170" w14:textId="237211FD" w:rsidR="00A72F4F" w:rsidRPr="00CC5C3C" w:rsidRDefault="00A72F4F"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28</w:t>
            </w:r>
          </w:p>
        </w:tc>
      </w:tr>
      <w:tr w:rsidR="00A72F4F" w:rsidRPr="00CC5C3C" w14:paraId="232BD3ED" w14:textId="77777777" w:rsidTr="005D61BF">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793F02B5"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Skor Maksimum</w:t>
            </w:r>
          </w:p>
        </w:tc>
        <w:tc>
          <w:tcPr>
            <w:tcW w:w="1703" w:type="dxa"/>
          </w:tcPr>
          <w:p w14:paraId="0157DFA8" w14:textId="1B69D492" w:rsidR="00A72F4F" w:rsidRPr="00CC5C3C" w:rsidRDefault="00A72F4F"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70</w:t>
            </w:r>
          </w:p>
        </w:tc>
      </w:tr>
      <w:tr w:rsidR="00A72F4F" w:rsidRPr="00CC5C3C" w14:paraId="3FA44F26" w14:textId="77777777" w:rsidTr="005D6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636DDECC"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Rata-Rata</w:t>
            </w:r>
          </w:p>
        </w:tc>
        <w:tc>
          <w:tcPr>
            <w:tcW w:w="1703" w:type="dxa"/>
          </w:tcPr>
          <w:p w14:paraId="09092A31" w14:textId="51A0A29F" w:rsidR="00A72F4F" w:rsidRPr="00CC5C3C" w:rsidRDefault="00A72F4F"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48,22</w:t>
            </w:r>
          </w:p>
        </w:tc>
      </w:tr>
      <w:tr w:rsidR="00A72F4F" w:rsidRPr="00CC5C3C" w14:paraId="48BB0B0E" w14:textId="77777777" w:rsidTr="005D61BF">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1D7D4B3C"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Median</w:t>
            </w:r>
          </w:p>
        </w:tc>
        <w:tc>
          <w:tcPr>
            <w:tcW w:w="1703" w:type="dxa"/>
          </w:tcPr>
          <w:p w14:paraId="6ABBFBE2" w14:textId="3C9A346B" w:rsidR="00A72F4F" w:rsidRPr="00CC5C3C" w:rsidRDefault="00A72F4F"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47</w:t>
            </w:r>
          </w:p>
        </w:tc>
      </w:tr>
      <w:tr w:rsidR="00A72F4F" w:rsidRPr="00CC5C3C" w14:paraId="2092080B" w14:textId="77777777" w:rsidTr="005D61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2" w:type="dxa"/>
          </w:tcPr>
          <w:p w14:paraId="4AA3FEE3"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Modus</w:t>
            </w:r>
          </w:p>
        </w:tc>
        <w:tc>
          <w:tcPr>
            <w:tcW w:w="1703" w:type="dxa"/>
          </w:tcPr>
          <w:p w14:paraId="10762C66" w14:textId="1E2BE8C1" w:rsidR="00A72F4F" w:rsidRPr="00CC5C3C" w:rsidRDefault="00A72F4F" w:rsidP="004472FB">
            <w:pPr>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41</w:t>
            </w:r>
          </w:p>
        </w:tc>
      </w:tr>
      <w:tr w:rsidR="00A72F4F" w:rsidRPr="00CC5C3C" w14:paraId="65FE303A" w14:textId="77777777" w:rsidTr="005D61BF">
        <w:trPr>
          <w:jc w:val="center"/>
        </w:trPr>
        <w:tc>
          <w:tcPr>
            <w:cnfStyle w:val="001000000000" w:firstRow="0" w:lastRow="0" w:firstColumn="1" w:lastColumn="0" w:oddVBand="0" w:evenVBand="0" w:oddHBand="0" w:evenHBand="0" w:firstRowFirstColumn="0" w:firstRowLastColumn="0" w:lastRowFirstColumn="0" w:lastRowLastColumn="0"/>
            <w:tcW w:w="2692" w:type="dxa"/>
          </w:tcPr>
          <w:p w14:paraId="1D4B504F" w14:textId="77777777" w:rsidR="00A72F4F" w:rsidRPr="00CC5C3C" w:rsidRDefault="00A72F4F" w:rsidP="004472FB">
            <w:pPr>
              <w:jc w:val="center"/>
              <w:rPr>
                <w:rFonts w:ascii="Book Antiqua" w:hAnsi="Book Antiqua"/>
                <w:b w:val="0"/>
                <w:bCs w:val="0"/>
                <w:sz w:val="22"/>
                <w:szCs w:val="22"/>
                <w:lang w:val="id-ID"/>
              </w:rPr>
            </w:pPr>
            <w:r w:rsidRPr="00CC5C3C">
              <w:rPr>
                <w:rFonts w:ascii="Book Antiqua" w:hAnsi="Book Antiqua"/>
                <w:b w:val="0"/>
                <w:bCs w:val="0"/>
                <w:sz w:val="22"/>
                <w:szCs w:val="22"/>
                <w:lang w:val="id-ID"/>
              </w:rPr>
              <w:t>Standar Deviasi</w:t>
            </w:r>
          </w:p>
        </w:tc>
        <w:tc>
          <w:tcPr>
            <w:tcW w:w="1703" w:type="dxa"/>
          </w:tcPr>
          <w:p w14:paraId="6D54B705" w14:textId="7E576C05" w:rsidR="00A72F4F" w:rsidRPr="00CC5C3C" w:rsidRDefault="00A72F4F" w:rsidP="004472FB">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lang w:val="id-ID"/>
              </w:rPr>
            </w:pPr>
            <w:r w:rsidRPr="00CC5C3C">
              <w:rPr>
                <w:rFonts w:ascii="Book Antiqua" w:hAnsi="Book Antiqua"/>
                <w:sz w:val="22"/>
                <w:szCs w:val="22"/>
                <w:lang w:val="id-ID"/>
              </w:rPr>
              <w:t>8,65</w:t>
            </w:r>
          </w:p>
        </w:tc>
      </w:tr>
    </w:tbl>
    <w:p w14:paraId="1DF21263" w14:textId="77777777" w:rsidR="00A72F4F" w:rsidRPr="00CC5C3C" w:rsidRDefault="00A72F4F" w:rsidP="004472FB">
      <w:pPr>
        <w:jc w:val="both"/>
        <w:rPr>
          <w:rFonts w:ascii="Book Antiqua" w:hAnsi="Book Antiqua"/>
          <w:sz w:val="16"/>
          <w:szCs w:val="16"/>
          <w:lang w:val="id-ID"/>
        </w:rPr>
      </w:pPr>
    </w:p>
    <w:p w14:paraId="05395618" w14:textId="15316317" w:rsidR="006E5BD8" w:rsidRDefault="00A72F4F" w:rsidP="004472FB">
      <w:pPr>
        <w:ind w:firstLine="720"/>
        <w:jc w:val="both"/>
        <w:rPr>
          <w:rFonts w:ascii="Book Antiqua" w:hAnsi="Book Antiqua"/>
          <w:sz w:val="24"/>
          <w:szCs w:val="24"/>
          <w:lang w:val="id-ID"/>
        </w:rPr>
      </w:pPr>
      <w:r w:rsidRPr="004472FB">
        <w:rPr>
          <w:rFonts w:ascii="Book Antiqua" w:hAnsi="Book Antiqua"/>
          <w:sz w:val="24"/>
          <w:szCs w:val="24"/>
          <w:lang w:val="id-ID"/>
        </w:rPr>
        <w:t>Hasil perhitungan menunjukkan bahwa skor minimum kesejahteraan mental mahasiswa yang mengalami kecemasan sebesar 28 dan skor maksimum sebesar 70. Nilai rata-rata (</w:t>
      </w:r>
      <w:r w:rsidRPr="004472FB">
        <w:rPr>
          <w:rFonts w:ascii="Book Antiqua" w:hAnsi="Book Antiqua"/>
          <w:i/>
          <w:iCs/>
          <w:sz w:val="24"/>
          <w:szCs w:val="24"/>
          <w:lang w:val="id-ID"/>
        </w:rPr>
        <w:t>mean</w:t>
      </w:r>
      <w:r w:rsidRPr="004472FB">
        <w:rPr>
          <w:rFonts w:ascii="Book Antiqua" w:hAnsi="Book Antiqua"/>
          <w:sz w:val="24"/>
          <w:szCs w:val="24"/>
          <w:lang w:val="id-ID"/>
        </w:rPr>
        <w:t>) kesejahteraan mental diperoleh sebesar 48,22, dengan median 47, modus 41, dan standar deviasi sebesar 8,65. Adapun gambaran umum kesejahteraan mental mahasiswa yang mengalami kecemasan berdasarkan hasil penyebaran instrumen disajikan pada tabel berikut:</w:t>
      </w:r>
    </w:p>
    <w:p w14:paraId="7CF8EFAD" w14:textId="77777777" w:rsidR="00CC5C3C" w:rsidRPr="00CC5C3C" w:rsidRDefault="00CC5C3C" w:rsidP="004472FB">
      <w:pPr>
        <w:ind w:firstLine="720"/>
        <w:jc w:val="both"/>
        <w:rPr>
          <w:rFonts w:ascii="Book Antiqua" w:hAnsi="Book Antiqua"/>
          <w:sz w:val="10"/>
          <w:szCs w:val="10"/>
          <w:lang w:val="id-ID"/>
        </w:rPr>
      </w:pPr>
    </w:p>
    <w:p w14:paraId="3D93237D" w14:textId="77777777" w:rsidR="00CC5C3C" w:rsidRDefault="00E85AEA" w:rsidP="004472FB">
      <w:pPr>
        <w:pStyle w:val="Caption"/>
        <w:spacing w:after="0"/>
        <w:jc w:val="center"/>
        <w:rPr>
          <w:rFonts w:ascii="Book Antiqua" w:hAnsi="Book Antiqua"/>
          <w:b/>
          <w:bCs/>
          <w:i w:val="0"/>
          <w:iCs w:val="0"/>
          <w:color w:val="auto"/>
          <w:sz w:val="22"/>
          <w:szCs w:val="22"/>
          <w:lang w:val="id-ID"/>
        </w:rPr>
      </w:pPr>
      <w:r w:rsidRPr="00CC5C3C">
        <w:rPr>
          <w:rFonts w:ascii="Book Antiqua" w:hAnsi="Book Antiqua"/>
          <w:b/>
          <w:bCs/>
          <w:i w:val="0"/>
          <w:iCs w:val="0"/>
          <w:color w:val="auto"/>
          <w:sz w:val="22"/>
          <w:szCs w:val="22"/>
          <w:lang w:val="id-ID"/>
        </w:rPr>
        <w:t xml:space="preserve">Tabel </w:t>
      </w:r>
      <w:r w:rsidRPr="00CC5C3C">
        <w:rPr>
          <w:rFonts w:ascii="Book Antiqua" w:hAnsi="Book Antiqua"/>
          <w:b/>
          <w:bCs/>
          <w:i w:val="0"/>
          <w:iCs w:val="0"/>
          <w:color w:val="auto"/>
          <w:sz w:val="22"/>
          <w:szCs w:val="22"/>
          <w:lang w:val="id-ID"/>
        </w:rPr>
        <w:fldChar w:fldCharType="begin"/>
      </w:r>
      <w:r w:rsidRPr="00CC5C3C">
        <w:rPr>
          <w:rFonts w:ascii="Book Antiqua" w:hAnsi="Book Antiqua"/>
          <w:b/>
          <w:bCs/>
          <w:i w:val="0"/>
          <w:iCs w:val="0"/>
          <w:color w:val="auto"/>
          <w:sz w:val="22"/>
          <w:szCs w:val="22"/>
          <w:lang w:val="id-ID"/>
        </w:rPr>
        <w:instrText xml:space="preserve"> SEQ Tabel \* ARABIC </w:instrText>
      </w:r>
      <w:r w:rsidRPr="00CC5C3C">
        <w:rPr>
          <w:rFonts w:ascii="Book Antiqua" w:hAnsi="Book Antiqua"/>
          <w:b/>
          <w:bCs/>
          <w:i w:val="0"/>
          <w:iCs w:val="0"/>
          <w:color w:val="auto"/>
          <w:sz w:val="22"/>
          <w:szCs w:val="22"/>
          <w:lang w:val="id-ID"/>
        </w:rPr>
        <w:fldChar w:fldCharType="separate"/>
      </w:r>
      <w:r w:rsidR="002C6A2B" w:rsidRPr="00CC5C3C">
        <w:rPr>
          <w:rFonts w:ascii="Book Antiqua" w:hAnsi="Book Antiqua"/>
          <w:b/>
          <w:bCs/>
          <w:i w:val="0"/>
          <w:iCs w:val="0"/>
          <w:noProof/>
          <w:color w:val="auto"/>
          <w:sz w:val="22"/>
          <w:szCs w:val="22"/>
          <w:lang w:val="id-ID"/>
        </w:rPr>
        <w:t>4</w:t>
      </w:r>
      <w:r w:rsidRPr="00CC5C3C">
        <w:rPr>
          <w:rFonts w:ascii="Book Antiqua" w:hAnsi="Book Antiqua"/>
          <w:b/>
          <w:bCs/>
          <w:i w:val="0"/>
          <w:iCs w:val="0"/>
          <w:color w:val="auto"/>
          <w:sz w:val="22"/>
          <w:szCs w:val="22"/>
          <w:lang w:val="id-ID"/>
        </w:rPr>
        <w:fldChar w:fldCharType="end"/>
      </w:r>
      <w:r w:rsidRPr="00CC5C3C">
        <w:rPr>
          <w:rFonts w:ascii="Book Antiqua" w:hAnsi="Book Antiqua"/>
          <w:b/>
          <w:bCs/>
          <w:i w:val="0"/>
          <w:iCs w:val="0"/>
          <w:color w:val="auto"/>
          <w:sz w:val="22"/>
          <w:szCs w:val="22"/>
          <w:lang w:val="id-ID"/>
        </w:rPr>
        <w:t xml:space="preserve">. Gambaran Umum Kesejahteraan Mental Mahasiswa </w:t>
      </w:r>
    </w:p>
    <w:p w14:paraId="4DD2F8A0" w14:textId="483F4050" w:rsidR="00A72F4F" w:rsidRPr="00CC5C3C" w:rsidRDefault="00E85AEA" w:rsidP="004472FB">
      <w:pPr>
        <w:pStyle w:val="Caption"/>
        <w:spacing w:after="0"/>
        <w:jc w:val="center"/>
        <w:rPr>
          <w:rFonts w:ascii="Book Antiqua" w:hAnsi="Book Antiqua"/>
          <w:b/>
          <w:bCs/>
          <w:i w:val="0"/>
          <w:iCs w:val="0"/>
          <w:sz w:val="22"/>
          <w:szCs w:val="22"/>
          <w:lang w:val="id-ID"/>
        </w:rPr>
      </w:pPr>
      <w:r w:rsidRPr="00CC5C3C">
        <w:rPr>
          <w:rFonts w:ascii="Book Antiqua" w:hAnsi="Book Antiqua"/>
          <w:b/>
          <w:bCs/>
          <w:i w:val="0"/>
          <w:iCs w:val="0"/>
          <w:color w:val="auto"/>
          <w:sz w:val="22"/>
          <w:szCs w:val="22"/>
          <w:lang w:val="id-ID"/>
        </w:rPr>
        <w:t>yang Mengalami Kecemasan</w:t>
      </w:r>
    </w:p>
    <w:tbl>
      <w:tblPr>
        <w:tblStyle w:val="TableGrid"/>
        <w:tblW w:w="0" w:type="auto"/>
        <w:jc w:val="center"/>
        <w:tblLook w:val="04A0" w:firstRow="1" w:lastRow="0" w:firstColumn="1" w:lastColumn="0" w:noHBand="0" w:noVBand="1"/>
      </w:tblPr>
      <w:tblGrid>
        <w:gridCol w:w="1473"/>
        <w:gridCol w:w="1757"/>
        <w:gridCol w:w="1164"/>
        <w:gridCol w:w="1418"/>
        <w:gridCol w:w="1417"/>
      </w:tblGrid>
      <w:tr w:rsidR="00A72F4F" w:rsidRPr="00CC5C3C" w14:paraId="60342948" w14:textId="77777777" w:rsidTr="00E85AEA">
        <w:trPr>
          <w:jc w:val="center"/>
        </w:trPr>
        <w:tc>
          <w:tcPr>
            <w:tcW w:w="1473" w:type="dxa"/>
            <w:vAlign w:val="center"/>
          </w:tcPr>
          <w:p w14:paraId="69E744F2" w14:textId="77777777" w:rsidR="00A72F4F" w:rsidRPr="00CC5C3C" w:rsidRDefault="00A72F4F" w:rsidP="004472FB">
            <w:pPr>
              <w:jc w:val="center"/>
              <w:rPr>
                <w:rFonts w:ascii="Book Antiqua" w:hAnsi="Book Antiqua"/>
                <w:sz w:val="22"/>
                <w:szCs w:val="22"/>
                <w:lang w:val="id-ID"/>
              </w:rPr>
            </w:pPr>
          </w:p>
        </w:tc>
        <w:tc>
          <w:tcPr>
            <w:tcW w:w="1757" w:type="dxa"/>
            <w:vAlign w:val="center"/>
          </w:tcPr>
          <w:p w14:paraId="684CE8E7" w14:textId="6A49BBDF" w:rsidR="00A72F4F" w:rsidRPr="00CC5C3C" w:rsidRDefault="00A72F4F" w:rsidP="004472FB">
            <w:pPr>
              <w:jc w:val="center"/>
              <w:rPr>
                <w:rFonts w:ascii="Book Antiqua" w:hAnsi="Book Antiqua"/>
                <w:b/>
                <w:bCs/>
                <w:sz w:val="22"/>
                <w:szCs w:val="22"/>
                <w:lang w:val="id-ID"/>
              </w:rPr>
            </w:pPr>
            <w:r w:rsidRPr="00CC5C3C">
              <w:rPr>
                <w:rFonts w:ascii="Book Antiqua" w:hAnsi="Book Antiqua"/>
                <w:b/>
                <w:bCs/>
                <w:sz w:val="22"/>
                <w:szCs w:val="22"/>
                <w:lang w:val="id-ID"/>
              </w:rPr>
              <w:t>Rentang Skor</w:t>
            </w:r>
          </w:p>
        </w:tc>
        <w:tc>
          <w:tcPr>
            <w:tcW w:w="1164" w:type="dxa"/>
            <w:vAlign w:val="center"/>
          </w:tcPr>
          <w:p w14:paraId="698FE2D2" w14:textId="29B93919" w:rsidR="00A72F4F" w:rsidRPr="00CC5C3C" w:rsidRDefault="00A72F4F" w:rsidP="004472FB">
            <w:pPr>
              <w:jc w:val="center"/>
              <w:rPr>
                <w:rFonts w:ascii="Book Antiqua" w:hAnsi="Book Antiqua"/>
                <w:b/>
                <w:bCs/>
                <w:sz w:val="22"/>
                <w:szCs w:val="22"/>
                <w:lang w:val="id-ID"/>
              </w:rPr>
            </w:pPr>
            <w:r w:rsidRPr="00CC5C3C">
              <w:rPr>
                <w:rFonts w:ascii="Book Antiqua" w:hAnsi="Book Antiqua"/>
                <w:b/>
                <w:bCs/>
                <w:sz w:val="22"/>
                <w:szCs w:val="22"/>
                <w:lang w:val="id-ID"/>
              </w:rPr>
              <w:t>Kriteria</w:t>
            </w:r>
          </w:p>
        </w:tc>
        <w:tc>
          <w:tcPr>
            <w:tcW w:w="1418" w:type="dxa"/>
            <w:vAlign w:val="center"/>
          </w:tcPr>
          <w:p w14:paraId="4FFD8AA0" w14:textId="41D03AD1" w:rsidR="00A72F4F" w:rsidRPr="00CC5C3C" w:rsidRDefault="00A72F4F" w:rsidP="004472FB">
            <w:pPr>
              <w:jc w:val="center"/>
              <w:rPr>
                <w:rFonts w:ascii="Book Antiqua" w:hAnsi="Book Antiqua"/>
                <w:b/>
                <w:bCs/>
                <w:sz w:val="22"/>
                <w:szCs w:val="22"/>
                <w:lang w:val="id-ID"/>
              </w:rPr>
            </w:pPr>
            <w:r w:rsidRPr="00CC5C3C">
              <w:rPr>
                <w:rFonts w:ascii="Book Antiqua" w:hAnsi="Book Antiqua"/>
                <w:b/>
                <w:bCs/>
                <w:sz w:val="22"/>
                <w:szCs w:val="22"/>
                <w:lang w:val="id-ID"/>
              </w:rPr>
              <w:t>Frekuensi</w:t>
            </w:r>
          </w:p>
        </w:tc>
        <w:tc>
          <w:tcPr>
            <w:tcW w:w="1417" w:type="dxa"/>
            <w:vAlign w:val="center"/>
          </w:tcPr>
          <w:p w14:paraId="4CBBEB06" w14:textId="6C6D2962" w:rsidR="00A72F4F" w:rsidRPr="00CC5C3C" w:rsidRDefault="00A72F4F" w:rsidP="004472FB">
            <w:pPr>
              <w:jc w:val="center"/>
              <w:rPr>
                <w:rFonts w:ascii="Book Antiqua" w:hAnsi="Book Antiqua"/>
                <w:b/>
                <w:bCs/>
                <w:sz w:val="22"/>
                <w:szCs w:val="22"/>
                <w:lang w:val="id-ID"/>
              </w:rPr>
            </w:pPr>
            <w:r w:rsidRPr="00CC5C3C">
              <w:rPr>
                <w:rFonts w:ascii="Book Antiqua" w:hAnsi="Book Antiqua"/>
                <w:b/>
                <w:bCs/>
                <w:sz w:val="22"/>
                <w:szCs w:val="22"/>
                <w:lang w:val="id-ID"/>
              </w:rPr>
              <w:t>Persentase</w:t>
            </w:r>
          </w:p>
        </w:tc>
      </w:tr>
      <w:tr w:rsidR="00A72F4F" w:rsidRPr="00CC5C3C" w14:paraId="61D20345" w14:textId="77777777" w:rsidTr="00E85AEA">
        <w:trPr>
          <w:jc w:val="center"/>
        </w:trPr>
        <w:tc>
          <w:tcPr>
            <w:tcW w:w="1473" w:type="dxa"/>
            <w:vAlign w:val="center"/>
          </w:tcPr>
          <w:p w14:paraId="4C20A2C5" w14:textId="2B186A52" w:rsidR="00A72F4F" w:rsidRPr="00CC5C3C" w:rsidRDefault="00A72F4F" w:rsidP="004472FB">
            <w:pPr>
              <w:jc w:val="center"/>
              <w:rPr>
                <w:rFonts w:ascii="Book Antiqua" w:hAnsi="Book Antiqua"/>
                <w:sz w:val="22"/>
                <w:szCs w:val="22"/>
                <w:lang w:val="id-ID"/>
              </w:rPr>
            </w:pPr>
            <w:r w:rsidRPr="00CC5C3C">
              <w:rPr>
                <w:rFonts w:ascii="Book Antiqua" w:hAnsi="Book Antiqua"/>
                <w:sz w:val="22"/>
                <w:szCs w:val="22"/>
                <w:lang w:val="id-ID"/>
              </w:rPr>
              <w:t>X &lt; 40</w:t>
            </w:r>
          </w:p>
        </w:tc>
        <w:tc>
          <w:tcPr>
            <w:tcW w:w="1757" w:type="dxa"/>
            <w:vAlign w:val="center"/>
          </w:tcPr>
          <w:p w14:paraId="1B1143D3" w14:textId="32D97D0E"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28 – 39</w:t>
            </w:r>
          </w:p>
        </w:tc>
        <w:tc>
          <w:tcPr>
            <w:tcW w:w="1164" w:type="dxa"/>
            <w:vAlign w:val="center"/>
          </w:tcPr>
          <w:p w14:paraId="0063AA7B" w14:textId="00CC174A"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Rendah</w:t>
            </w:r>
          </w:p>
        </w:tc>
        <w:tc>
          <w:tcPr>
            <w:tcW w:w="1418" w:type="dxa"/>
            <w:vAlign w:val="center"/>
          </w:tcPr>
          <w:p w14:paraId="0A8FE656" w14:textId="57342D05"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10</w:t>
            </w:r>
          </w:p>
        </w:tc>
        <w:tc>
          <w:tcPr>
            <w:tcW w:w="1417" w:type="dxa"/>
            <w:vAlign w:val="center"/>
          </w:tcPr>
          <w:p w14:paraId="4D8426D1" w14:textId="18F1469D"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10,64%</w:t>
            </w:r>
          </w:p>
        </w:tc>
      </w:tr>
      <w:tr w:rsidR="00A72F4F" w:rsidRPr="00CC5C3C" w14:paraId="7A20866B" w14:textId="77777777" w:rsidTr="00E85AEA">
        <w:trPr>
          <w:jc w:val="center"/>
        </w:trPr>
        <w:tc>
          <w:tcPr>
            <w:tcW w:w="1473" w:type="dxa"/>
            <w:vAlign w:val="center"/>
          </w:tcPr>
          <w:p w14:paraId="50D45970" w14:textId="6E4770A1" w:rsidR="00A72F4F" w:rsidRPr="00CC5C3C" w:rsidRDefault="00A72F4F" w:rsidP="004472FB">
            <w:pPr>
              <w:jc w:val="center"/>
              <w:rPr>
                <w:rFonts w:ascii="Book Antiqua" w:hAnsi="Book Antiqua"/>
                <w:sz w:val="22"/>
                <w:szCs w:val="22"/>
                <w:lang w:val="id-ID"/>
              </w:rPr>
            </w:pPr>
            <w:r w:rsidRPr="00CC5C3C">
              <w:rPr>
                <w:rFonts w:ascii="Book Antiqua" w:hAnsi="Book Antiqua"/>
                <w:sz w:val="22"/>
                <w:szCs w:val="22"/>
                <w:lang w:val="id-ID"/>
              </w:rPr>
              <w:t>40 ≤ X ≤ 57</w:t>
            </w:r>
          </w:p>
        </w:tc>
        <w:tc>
          <w:tcPr>
            <w:tcW w:w="1757" w:type="dxa"/>
            <w:vAlign w:val="center"/>
          </w:tcPr>
          <w:p w14:paraId="7D7802B0" w14:textId="53234EFC"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40 – 57</w:t>
            </w:r>
          </w:p>
        </w:tc>
        <w:tc>
          <w:tcPr>
            <w:tcW w:w="1164" w:type="dxa"/>
            <w:vAlign w:val="center"/>
          </w:tcPr>
          <w:p w14:paraId="000C1473" w14:textId="4E07CDB4"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Sedang</w:t>
            </w:r>
          </w:p>
        </w:tc>
        <w:tc>
          <w:tcPr>
            <w:tcW w:w="1418" w:type="dxa"/>
            <w:vAlign w:val="center"/>
          </w:tcPr>
          <w:p w14:paraId="6A7932A7" w14:textId="5CFFF35F"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70</w:t>
            </w:r>
          </w:p>
        </w:tc>
        <w:tc>
          <w:tcPr>
            <w:tcW w:w="1417" w:type="dxa"/>
            <w:vAlign w:val="center"/>
          </w:tcPr>
          <w:p w14:paraId="46991752" w14:textId="74CBC6A5"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74,47%</w:t>
            </w:r>
          </w:p>
        </w:tc>
      </w:tr>
      <w:tr w:rsidR="00A72F4F" w:rsidRPr="00CC5C3C" w14:paraId="2336F4C6" w14:textId="77777777" w:rsidTr="00E85AEA">
        <w:trPr>
          <w:jc w:val="center"/>
        </w:trPr>
        <w:tc>
          <w:tcPr>
            <w:tcW w:w="1473" w:type="dxa"/>
            <w:vAlign w:val="center"/>
          </w:tcPr>
          <w:p w14:paraId="4CD1AAB6" w14:textId="74464B23"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X &gt; 57</w:t>
            </w:r>
          </w:p>
        </w:tc>
        <w:tc>
          <w:tcPr>
            <w:tcW w:w="1757" w:type="dxa"/>
            <w:vAlign w:val="center"/>
          </w:tcPr>
          <w:p w14:paraId="228EDB11" w14:textId="5C9F3DA7"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58 – 70</w:t>
            </w:r>
          </w:p>
        </w:tc>
        <w:tc>
          <w:tcPr>
            <w:tcW w:w="1164" w:type="dxa"/>
            <w:vAlign w:val="center"/>
          </w:tcPr>
          <w:p w14:paraId="5D76D192" w14:textId="155B7EF2"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Tinggi</w:t>
            </w:r>
          </w:p>
        </w:tc>
        <w:tc>
          <w:tcPr>
            <w:tcW w:w="1418" w:type="dxa"/>
            <w:vAlign w:val="center"/>
          </w:tcPr>
          <w:p w14:paraId="3252C94C" w14:textId="3183173E"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14</w:t>
            </w:r>
          </w:p>
        </w:tc>
        <w:tc>
          <w:tcPr>
            <w:tcW w:w="1417" w:type="dxa"/>
            <w:vAlign w:val="center"/>
          </w:tcPr>
          <w:p w14:paraId="2D013ABB" w14:textId="7E9BEB5D" w:rsidR="00A72F4F"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14,89%</w:t>
            </w:r>
          </w:p>
        </w:tc>
      </w:tr>
      <w:tr w:rsidR="00E85AEA" w:rsidRPr="00CC5C3C" w14:paraId="5FBD8AC2" w14:textId="77777777" w:rsidTr="00E85AEA">
        <w:trPr>
          <w:jc w:val="center"/>
        </w:trPr>
        <w:tc>
          <w:tcPr>
            <w:tcW w:w="4394" w:type="dxa"/>
            <w:gridSpan w:val="3"/>
            <w:vAlign w:val="center"/>
          </w:tcPr>
          <w:p w14:paraId="05412C95" w14:textId="640D1904" w:rsidR="00E85AEA" w:rsidRPr="00CC5C3C" w:rsidRDefault="00E85AEA" w:rsidP="004472FB">
            <w:pPr>
              <w:jc w:val="center"/>
              <w:rPr>
                <w:rFonts w:ascii="Book Antiqua" w:hAnsi="Book Antiqua"/>
                <w:sz w:val="22"/>
                <w:szCs w:val="22"/>
                <w:lang w:val="id-ID"/>
              </w:rPr>
            </w:pPr>
            <w:r w:rsidRPr="00CC5C3C">
              <w:rPr>
                <w:rFonts w:ascii="Book Antiqua" w:hAnsi="Book Antiqua"/>
                <w:b/>
                <w:bCs/>
                <w:sz w:val="22"/>
                <w:szCs w:val="22"/>
                <w:lang w:val="id-ID"/>
              </w:rPr>
              <w:t>Jumlah</w:t>
            </w:r>
          </w:p>
        </w:tc>
        <w:tc>
          <w:tcPr>
            <w:tcW w:w="1418" w:type="dxa"/>
            <w:vAlign w:val="center"/>
          </w:tcPr>
          <w:p w14:paraId="3058021B" w14:textId="29788334" w:rsidR="00E85AEA"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94</w:t>
            </w:r>
          </w:p>
        </w:tc>
        <w:tc>
          <w:tcPr>
            <w:tcW w:w="1417" w:type="dxa"/>
            <w:vAlign w:val="center"/>
          </w:tcPr>
          <w:p w14:paraId="3B55A591" w14:textId="4120E25B" w:rsidR="00E85AEA" w:rsidRPr="00CC5C3C" w:rsidRDefault="00E85AEA" w:rsidP="004472FB">
            <w:pPr>
              <w:jc w:val="center"/>
              <w:rPr>
                <w:rFonts w:ascii="Book Antiqua" w:hAnsi="Book Antiqua"/>
                <w:sz w:val="22"/>
                <w:szCs w:val="22"/>
                <w:lang w:val="id-ID"/>
              </w:rPr>
            </w:pPr>
            <w:r w:rsidRPr="00CC5C3C">
              <w:rPr>
                <w:rFonts w:ascii="Book Antiqua" w:hAnsi="Book Antiqua"/>
                <w:sz w:val="22"/>
                <w:szCs w:val="22"/>
                <w:lang w:val="id-ID"/>
              </w:rPr>
              <w:t>100%</w:t>
            </w:r>
          </w:p>
        </w:tc>
      </w:tr>
    </w:tbl>
    <w:p w14:paraId="549DFD83" w14:textId="77777777" w:rsidR="00A72F4F" w:rsidRPr="00E31F4A" w:rsidRDefault="00A72F4F" w:rsidP="004472FB">
      <w:pPr>
        <w:jc w:val="both"/>
        <w:rPr>
          <w:rFonts w:ascii="Book Antiqua" w:hAnsi="Book Antiqua"/>
          <w:sz w:val="16"/>
          <w:szCs w:val="16"/>
          <w:lang w:val="id-ID"/>
        </w:rPr>
      </w:pPr>
    </w:p>
    <w:p w14:paraId="73E8FECE" w14:textId="15315A50" w:rsidR="00A72F4F" w:rsidRPr="004472FB" w:rsidRDefault="00E85AEA"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Berdasarkan hasil </w:t>
      </w:r>
      <w:r w:rsidR="00A76348" w:rsidRPr="004472FB">
        <w:rPr>
          <w:rFonts w:ascii="Book Antiqua" w:hAnsi="Book Antiqua"/>
          <w:sz w:val="24"/>
          <w:szCs w:val="24"/>
          <w:lang w:val="id-ID"/>
        </w:rPr>
        <w:t xml:space="preserve">pengumpulan data yang tertera pada </w:t>
      </w:r>
      <w:r w:rsidR="00B403DA" w:rsidRPr="004472FB">
        <w:rPr>
          <w:rFonts w:ascii="Book Antiqua" w:hAnsi="Book Antiqua"/>
          <w:sz w:val="24"/>
          <w:szCs w:val="24"/>
          <w:lang w:val="id-ID"/>
        </w:rPr>
        <w:t>t</w:t>
      </w:r>
      <w:r w:rsidR="00A76348" w:rsidRPr="004472FB">
        <w:rPr>
          <w:rFonts w:ascii="Book Antiqua" w:hAnsi="Book Antiqua"/>
          <w:sz w:val="24"/>
          <w:szCs w:val="24"/>
          <w:lang w:val="id-ID"/>
        </w:rPr>
        <w:t xml:space="preserve">abel 4 mengenai gambaran umum kesejahteraan mental pada mahasiswa yang mengalami kecemasan, diketahui bahwa terdapat 10 mahasiswa (10,64%) yang berada pada </w:t>
      </w:r>
      <w:r w:rsidR="00B15604" w:rsidRPr="004472FB">
        <w:rPr>
          <w:rFonts w:ascii="Book Antiqua" w:hAnsi="Book Antiqua"/>
          <w:sz w:val="24"/>
          <w:szCs w:val="24"/>
          <w:lang w:val="id-ID"/>
        </w:rPr>
        <w:t>kategori rendah. Oleh karena itu, ma</w:t>
      </w:r>
      <w:r w:rsidR="00397AD5" w:rsidRPr="004472FB">
        <w:rPr>
          <w:rFonts w:ascii="Book Antiqua" w:hAnsi="Book Antiqua"/>
          <w:sz w:val="24"/>
          <w:szCs w:val="24"/>
          <w:lang w:val="id-ID"/>
        </w:rPr>
        <w:t>h</w:t>
      </w:r>
      <w:r w:rsidR="00B15604" w:rsidRPr="004472FB">
        <w:rPr>
          <w:rFonts w:ascii="Book Antiqua" w:hAnsi="Book Antiqua"/>
          <w:sz w:val="24"/>
          <w:szCs w:val="24"/>
          <w:lang w:val="id-ID"/>
        </w:rPr>
        <w:t xml:space="preserve">asiswa pada kategori ini memerlukan perhatian dan dukungan psikologis maupun layanan konseling untuk membantu meningkatkan kesejahteraan mentalnya. Sebagian besar mahasiswa, yaitu sebanyak 70 mahasiswa (74,47%), berada pada kategori sedang. Hasil ini menunjukkan bahwa mayoritas mahasiswa memiliki </w:t>
      </w:r>
      <w:r w:rsidR="00996416" w:rsidRPr="004472FB">
        <w:rPr>
          <w:rFonts w:ascii="Book Antiqua" w:hAnsi="Book Antiqua"/>
          <w:sz w:val="24"/>
          <w:szCs w:val="24"/>
          <w:lang w:val="id-ID"/>
        </w:rPr>
        <w:t>t</w:t>
      </w:r>
      <w:r w:rsidR="00B15604" w:rsidRPr="004472FB">
        <w:rPr>
          <w:rFonts w:ascii="Book Antiqua" w:hAnsi="Book Antiqua"/>
          <w:sz w:val="24"/>
          <w:szCs w:val="24"/>
          <w:lang w:val="id-ID"/>
        </w:rPr>
        <w:t>ingkat kesejahteraan mental yang cukup baik. Sementara itu, sebanyak 14 mahasiswa (14,89%) berada pada kategori tinggi. Kondisi ini menunjukkan bahwa sebagian mahasiswa memiliki kesejahteraan mental yang baik.</w:t>
      </w:r>
    </w:p>
    <w:p w14:paraId="5DFE746C" w14:textId="7954EDF5" w:rsidR="00996416" w:rsidRPr="004472FB" w:rsidRDefault="00996416"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Secara keseluruhan, dapat disimpulkan bahwa mayoritas mahasiswa yang mengalami kecemasan memiliki tingkat kesejahteraan mental pada kategori sedang. Temuan ini menunjukkan bahwa meskipun mengalami kecemasan, sebagian besar mahasiswa masih mampu mempertahankan fungsi psikologis dan sosialnya. Temuan tersebut sejaan dengan penelitian yang dilakukan oleh Rabbani et al. </w:t>
      </w:r>
      <w:r w:rsidR="007E278B"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{"citationItems":[{"id":"ITEM-1","itemData":{"DOI":"10.29313/bcsms.v6i1.22103","abstract":"… Final-year medical students face accumulated academic loads that risk affecting their psychological condition. This study aims to describe the level of student well-being among the …","author":[{"dropping-particle":"","family":"Rabbani","given":"K A F","non-dropping-particle":"","parse-names":false,"suffix":""},{"dropping-particle":"","family":"Kusmiati","given":"M","non-dropping-particle":"","parse-names":false,"suffix":""},{"dropping-particle":"","family":"...","given":"","non-dropping-particle":"","parse-names":false,"suffix":""}],"container-title":"Bandung Conference …","id":"ITEM-1","issue":"1","issued":{"date-parts":[["2026"]]},"page":"165-172","title":"Gambaran Tingkat Kesejahteraan pada Mahasiswa Angkatan 2022 Fakultas Kedokteran Unisba.","type":"article-journal","volume":"6"},"uris":["http://www.mendeley.com/documents/?uuid=6a3ee43b-3aed-40c0-bdd2-aa03b2c81148"]}],"mendeley":{"formattedCitation":"[33]","plainTextFormattedCitation":"[33]","previouslyFormattedCitation":"[32]"},"properties":{"noteIndex":0},"schema":"https://github.com/citation-style-language/schema/raw/master/csl-citation.json"}</w:instrText>
      </w:r>
      <w:r w:rsidR="007E278B"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[33]</w:t>
      </w:r>
      <w:r w:rsidR="007E278B" w:rsidRPr="004472FB">
        <w:rPr>
          <w:rFonts w:ascii="Book Antiqua" w:hAnsi="Book Antiqua"/>
          <w:sz w:val="24"/>
          <w:szCs w:val="24"/>
          <w:lang w:val="id-ID"/>
        </w:rPr>
        <w:fldChar w:fldCharType="end"/>
      </w:r>
      <w:r w:rsidRPr="004472FB">
        <w:rPr>
          <w:rFonts w:ascii="Book Antiqua" w:hAnsi="Book Antiqua"/>
          <w:sz w:val="24"/>
          <w:szCs w:val="24"/>
          <w:lang w:val="id-ID"/>
        </w:rPr>
        <w:t xml:space="preserve"> yang menemukan bahwa sebagian besar mahasiswa memiliki tingkat kesejahteraan pada kategori sedang, yang menunjukkan bahwa mahasiswa masih tetap dapat mempertahankan stabilitas psikologis meskipun menghadapi berbagai tuntutan akademik. Selain itu, penelitian yang dilakukan oleh Aprilya et al. </w:t>
      </w:r>
      <w:r w:rsidR="007E278B"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{"citationItems":[{"id":"ITEM-1","itemData":{"DOI":"10.65067/essgpd25","abstract":"Wounded inner child and mental well-being are two salient components of psychological health among university students that influence their capacity to adapt to academic demands and the developmental challenges of emerging adulthood. This study aimed to describe the prevalence of wounded inner child experiences among students and to examine their relationship with levels of mental well-being. Employing a correlational quantitative design, the research sampled 272 undergraduates and assessed childhood-derived wounds and mental well-being using standardized instruments. Results indicate a significant negative association between wounded inner child scores and mental well-being (r = –0.469), with the dimensions of shame/low self-worth, suppressed anger, and feelings of unlovability contributing most strongly to reduced well-being. These findings suggest that higher levels of wounded inner child experiences are associated with lower emotional and psychological well-being. Overall, the study underscores the importance of counseling interventions that target emotional wound repair and the strengthening of adaptive capacities to promote student mental-health in higher education settings.","author":[{"dropping-particle":"","family":"Aprilya","given":"Tasya","non-dropping-particle":"","parse-names":false,"suffix":""},{"dropping-particle":"","family":"Sugara","given":"Gian Sugiana","non-dropping-particle":"","parse-names":false,"suffix":""},{"dropping-particle":"","family":"Rahimsyah","given":"Anandha Putri","non-dropping-particle":"","parse-names":false,"suffix":""}],"container-title":"Journal of Mental Health and Well-Being in Counseling","id":"ITEM-1","issue":"1","issued":{"date-parts":[["2026"]]},"page":"11-21","title":"Wounded Inner Child Experiences and Mental Well-Being Among University Students: A Correlational Study","type":"article-journal","volume":"2"},"uris":["http://www.mendeley.com/documents/?uuid=3da63756-7f46-41fb-94b9-f55bfa4147d3"]}],"mendeley":{"formattedCitation":"[29]","plainTextFormattedCitation":"[29]","previouslyFormattedCitation":"[28]"},"properties":{"noteIndex":0},"schema":"https://github.com/citation-style-language/schema/raw/master/csl-citation.json"}</w:instrText>
      </w:r>
      <w:r w:rsidR="007E278B"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[29]</w:t>
      </w:r>
      <w:r w:rsidR="007E278B" w:rsidRPr="004472FB">
        <w:rPr>
          <w:rFonts w:ascii="Book Antiqua" w:hAnsi="Book Antiqua"/>
          <w:sz w:val="24"/>
          <w:szCs w:val="24"/>
          <w:lang w:val="id-ID"/>
        </w:rPr>
        <w:fldChar w:fldCharType="end"/>
      </w:r>
      <w:r w:rsidRPr="004472FB">
        <w:rPr>
          <w:rFonts w:ascii="Book Antiqua" w:hAnsi="Book Antiqua"/>
          <w:sz w:val="24"/>
          <w:szCs w:val="24"/>
          <w:lang w:val="id-ID"/>
        </w:rPr>
        <w:t xml:space="preserve"> juga menunjukkan bahwa kesejahteraan mental mahasiswa </w:t>
      </w:r>
      <w:r w:rsidR="00D2621B" w:rsidRPr="004472FB">
        <w:rPr>
          <w:rFonts w:ascii="Book Antiqua" w:hAnsi="Book Antiqua"/>
          <w:sz w:val="24"/>
          <w:szCs w:val="24"/>
          <w:lang w:val="id-ID"/>
        </w:rPr>
        <w:t xml:space="preserve">berada pada kategori </w:t>
      </w:r>
      <w:r w:rsidR="00D2621B" w:rsidRPr="004472FB">
        <w:rPr>
          <w:rFonts w:ascii="Book Antiqua" w:hAnsi="Book Antiqua"/>
          <w:sz w:val="24"/>
          <w:szCs w:val="24"/>
          <w:lang w:val="id-ID"/>
        </w:rPr>
        <w:lastRenderedPageBreak/>
        <w:t>sedang. Aspek kesejahteraan psikologis (</w:t>
      </w:r>
      <w:r w:rsidR="00D2621B" w:rsidRPr="004472FB">
        <w:rPr>
          <w:rFonts w:ascii="Book Antiqua" w:hAnsi="Book Antiqua"/>
          <w:i/>
          <w:iCs/>
          <w:sz w:val="24"/>
          <w:szCs w:val="24"/>
          <w:lang w:val="id-ID"/>
        </w:rPr>
        <w:t>eudaimonic</w:t>
      </w:r>
      <w:r w:rsidR="00D2621B" w:rsidRPr="004472FB">
        <w:rPr>
          <w:rFonts w:ascii="Book Antiqua" w:hAnsi="Book Antiqua"/>
          <w:sz w:val="24"/>
          <w:szCs w:val="24"/>
          <w:lang w:val="id-ID"/>
        </w:rPr>
        <w:t>) memberikan kontribusi terbesar, yang menunjukkan bahwa makna hidup, pengembangan diri, dan fungsi psikologis positif menjadi kekua</w:t>
      </w:r>
      <w:r w:rsidR="00397AD5" w:rsidRPr="004472FB">
        <w:rPr>
          <w:rFonts w:ascii="Book Antiqua" w:hAnsi="Book Antiqua"/>
          <w:sz w:val="24"/>
          <w:szCs w:val="24"/>
          <w:lang w:val="id-ID"/>
        </w:rPr>
        <w:t>t</w:t>
      </w:r>
      <w:r w:rsidR="00D2621B" w:rsidRPr="004472FB">
        <w:rPr>
          <w:rFonts w:ascii="Book Antiqua" w:hAnsi="Book Antiqua"/>
          <w:sz w:val="24"/>
          <w:szCs w:val="24"/>
          <w:lang w:val="id-ID"/>
        </w:rPr>
        <w:t xml:space="preserve">an utama yang mendukung kesejahteraan mental mahasiswa. Dalam hal ini, kesejahteraan mental merupakan suatu kondisi yang tidak hanya ditandai oleh ketiadaan gangguan psikologis, tetapi juga mencakup perasaan positif dan kemampuan individu untuk berfungsi secara optimal dalam kehidupan sehari-hari </w:t>
      </w:r>
      <w:r w:rsidR="007E278B" w:rsidRPr="004472FB">
        <w:rPr>
          <w:rFonts w:ascii="Book Antiqua" w:hAnsi="Book Antiqua"/>
          <w:sz w:val="24"/>
          <w:szCs w:val="24"/>
          <w:lang w:val="id-ID"/>
        </w:rPr>
        <w:fldChar w:fldCharType="begin" w:fldLock="1"/>
      </w:r>
      <w:r w:rsidR="007E278B" w:rsidRPr="004472FB">
        <w:rPr>
          <w:rFonts w:ascii="Book Antiqua" w:hAnsi="Book Antiqua"/>
          <w:sz w:val="24"/>
          <w:szCs w:val="24"/>
          <w:lang w:val="id-ID"/>
        </w:rPr>
        <w:instrText>ADDIN CSL_CITATION {"citationItems":[{"id":"ITEM-1","itemData":{"DOI":"10.1186/1477-7525-7-15","ISSN":"14777525","PMID":"19228398","abstract":"Background: The Warwick-Edinburgh Mental Well-Being Scale (WEMWBS) was developed to meet demand for instruments to measure mental well-being. It comprises 14 positively phrased Likert-style items and fulfils classic criteria for scale development. We report here the internal construct validity of WEMWBS from the perspective of the Rasch measurement model. Methods: The model was applied to data collected from 779 respondents in Wave 12 (Autumn 2006) of the Scottish Health Education Population Survey. Respondents were aged 16-74 (average 41.9) yrs. Results: Initial fit to model expectations was poor. The items 'I've been feeling good about myself', 'I've been interested in new things' and 'I've been feeling cheerful' all showed significant misfit to model expectations, and were deleted. This led to a marginal improvement in fit to the model. After further analysis, more items were deleted and a strict unidimensional seven item scale (the Short Warwick Edinburgh Mental Well-Being Scale (SWEMWBS)) was resolved. Many items deleted because of misfit with model expectations showed considerable bias for gender. Two retained items also demonstrated bias for gender but, at the scale level, cancelled out. One further retained item 'I've been feeling optimistic about the future' showed bias for age. The correlation between the 14 item and 7 item versions was 0.954. Given fit to the Rasch model, and strict unidimensionality, SWEMWBS provides an interval scale estimate of mental well-being. Conclusion: A short 7 item version of WEMWBS was found to satisfy the strict unidimensionality expectations of the Rasch model, and be largely free of bias. This scale, SWEMWBS, provides a raw score-interval scale transformation for use in parametric procedures. In terms of face validity, SWEMWBS presents a more restricted view of mental well-being than the 14 item WEMWBS, with most items representing aspects of psychological and eudemonic well-being, and few covering hedonic well-being or affect. However, robust measurement properties combined with brevity make SWEMWBS preferable to WEMWBS at present for monitoring mental well-being in populations. Where face validity is an issue there remain arguments for continuing to collect data on the full 14 item WEMWBS. © 2009 Stewart-Brown et al; licensee BioMed Central Ltd.","author":[{"dropping-particle":"","family":"Stewart-Brown","given":"Sarah","non-dropping-particle":"","parse-names":false,"suffix":""},{"dropping-particle":"","family":"Tennant","given":"Alan","non-dropping-particle":"","parse-names":false,"suffix":""},{"dropping-particle":"","family":"Tennant","given":"Ruth","non-dropping-particle":"","parse-names":false,"suffix":""},{"dropping-particle":"","family":"Platt","given":"Stephen","non-dropping-particle":"","parse-names":false,"suffix":""},{"dropping-particle":"","family":"Parkinson","given":"Jane","non-dropping-particle":"","parse-names":false,"suffix":""},{"dropping-particle":"","family":"Weich","given":"Scott","non-dropping-particle":"","parse-names":false,"suffix":""}],"container-title":"Health and Quality of Life Outcomes","id":"ITEM-1","issue":"1","issued":{"date-parts":[["2009"]]},"page":"15","title":"Internal construct validity of the Warwick-Edinburgh Mental Well-Being Scale (WEMWBS): A Rasch analysis using data from the Scottish Health Education Population Survey","type":"article-journal","volume":"7"},"uris":["http://www.mendeley.com/documents/?uuid=3303a2b3-0c86-4c88-aaf2-302539200e2a"]}],"mendeley":{"formattedCitation":"[15]","plainTextFormattedCitation":"[15]","previouslyFormattedCitation":"[15]"},"properties":{"noteIndex":0},"schema":"https://github.com/citation-style-language/schema/raw/master/csl-citation.json"}</w:instrText>
      </w:r>
      <w:r w:rsidR="007E278B" w:rsidRPr="004472FB">
        <w:rPr>
          <w:rFonts w:ascii="Book Antiqua" w:hAnsi="Book Antiqua"/>
          <w:sz w:val="24"/>
          <w:szCs w:val="24"/>
          <w:lang w:val="id-ID"/>
        </w:rPr>
        <w:fldChar w:fldCharType="separate"/>
      </w:r>
      <w:r w:rsidR="007E278B" w:rsidRPr="004472FB">
        <w:rPr>
          <w:rFonts w:ascii="Book Antiqua" w:hAnsi="Book Antiqua"/>
          <w:noProof/>
          <w:sz w:val="24"/>
          <w:szCs w:val="24"/>
          <w:lang w:val="id-ID"/>
        </w:rPr>
        <w:t>[15]</w:t>
      </w:r>
      <w:r w:rsidR="007E278B" w:rsidRPr="004472FB">
        <w:rPr>
          <w:rFonts w:ascii="Book Antiqua" w:hAnsi="Book Antiqua"/>
          <w:sz w:val="24"/>
          <w:szCs w:val="24"/>
          <w:lang w:val="id-ID"/>
        </w:rPr>
        <w:fldChar w:fldCharType="end"/>
      </w:r>
      <w:r w:rsidR="00D2621B" w:rsidRPr="004472FB">
        <w:rPr>
          <w:rFonts w:ascii="Book Antiqua" w:hAnsi="Book Antiqua"/>
          <w:sz w:val="24"/>
          <w:szCs w:val="24"/>
          <w:lang w:val="id-ID"/>
        </w:rPr>
        <w:t xml:space="preserve">. Namun, upaya pengembangan kesejahteraan mental tetap diperlukan untuk membantu mahasiswa menghadapi berbagai tuntutan akademik dan kehidupan sehari-hari secara lebih optimal. Pandangan ini didukung oleh Aryani et al. </w:t>
      </w:r>
      <w:r w:rsidR="007E278B"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{"citationItems":[{"id":"ITEM-1","itemData":{"ISBN":"9786233871525","abstract":"Penelitian ini bertujuan untuk mengadaptasi layanan konseling online bagi mahasiswa sehingga dapat memberikan ruang yang aman dan nyaman bagi mahasiswa untuk mendapatkan dukungan kesehatan mental khususnya mahasiswa Universitas Negeri Makassar. Jenis penelitian ini adalah penelitian kuantitatif deskriptif yang dirancang untuk menginterpretasi gambaran kekuatan dan kelemahan serta self harm mahasiswa Universitas Negeri Makassar. Produk yang dihasilkan berupa model layanan konseling online untuk menjaga kesehatan mental mahasiswa Universitas Negeri Makassar. Data diolah secara deskriptif untuk memberikan gambaran proses penelitian. Lokasi penelitian dilaksanakan di Universitas Negeri Makassar. Teknik pengumpulan data menggunakan instrumen Strengths and Difficulties Questionnaire (SDQ) dan Self-Harm menggunakan google form yang terdiri dari 35 item pernyataan dan tujuh aspek yang diukur dan gambaran prototype tampilan fitur aplikasi dengan dalam mengoptimalisasi kesehatan mental mahasiswa serta video panduan. Hasil temuan penelitian pada tahap pra-pengembangan dalam analisis kebutuhan yang di kumpulkan pada 100 Mahasiswa Universitas Negeri Makassar menunjukkan bahwa kesehatan mental mahasiswa terkategori cukup tinggi terlebih pada aspek pribadi, sosial, dan karir sehingga membutuhkan layanan psikologis/konsultasi yang efektif. Melalui pengembangan aplikasi model konseling online yang memiliki fitur janji temu, konselor yang profesional, layanan informasi digital serta kepraktisan yang tinggi diharapkan dapat dimanfaatkan dengan baik oleh mahasiswa dalam mengoptimalisasi kesehatan mentalnya di Perguruan Tinggi.","author":[{"dropping-particle":"","family":"Farida Aryani","given":"","non-dropping-particle":"","parse-names":false,"suffix":""},{"dropping-particle":"","family":"Sella Mewarni","given":"","non-dropping-particle":"","parse-names":false,"suffix":""},{"dropping-particle":"","family":"Muhammad Rais","given":"","non-dropping-particle":"","parse-names":false,"suffix":""},{"dropping-particle":"","family":"Muhammad Rafli","given":"","non-dropping-particle":"","parse-names":false,"suffix":""}],"container-title":"Seminar Nasional LP2M UNM","id":"ITEM-1","issue":"11","issued":{"date-parts":[["2024"]]},"page":"1510-1518","title":"Optimalisasi Layanan Kesehatan Mental Di Kalangan Mahasiswa\nMelalui Pengembangan Model Konseling Online","type":"article-journal","volume":"1"},"uris":["http://www.mendeley.com/documents/?uuid=441582d2-6c18-4548-9b19-d9c9300c02dd"]}],"mendeley":{"formattedCitation":"[34]","plainTextFormattedCitation":"[34]","previouslyFormattedCitation":"[33]"},"properties":{"noteIndex":0},"schema":"https://github.com/citation-style-language/schema/raw/master/csl-citation.json"}</w:instrText>
      </w:r>
      <w:r w:rsidR="007E278B"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[34]</w:t>
      </w:r>
      <w:r w:rsidR="007E278B" w:rsidRPr="004472FB">
        <w:rPr>
          <w:rFonts w:ascii="Book Antiqua" w:hAnsi="Book Antiqua"/>
          <w:sz w:val="24"/>
          <w:szCs w:val="24"/>
          <w:lang w:val="id-ID"/>
        </w:rPr>
        <w:fldChar w:fldCharType="end"/>
      </w:r>
      <w:r w:rsidR="00D2621B" w:rsidRPr="004472FB">
        <w:rPr>
          <w:rFonts w:ascii="Book Antiqua" w:hAnsi="Book Antiqua"/>
          <w:sz w:val="24"/>
          <w:szCs w:val="24"/>
          <w:lang w:val="id-ID"/>
        </w:rPr>
        <w:t xml:space="preserve"> yang menyatakan bahwa sebagian besar mahasiswa membutuhkan layanan psikologis dan konseling, sehingga pengembangan layanan kesehatan mental di perguruan tinggi diperlukan untuk mendukung kesejahteraan mental mahasiswa.</w:t>
      </w:r>
    </w:p>
    <w:p w14:paraId="0A0D7788" w14:textId="77777777" w:rsidR="00E85AEA" w:rsidRPr="004472FB" w:rsidRDefault="00E85AEA" w:rsidP="004472FB">
      <w:pPr>
        <w:ind w:firstLine="720"/>
        <w:jc w:val="both"/>
        <w:rPr>
          <w:rFonts w:ascii="Book Antiqua" w:hAnsi="Book Antiqua"/>
          <w:sz w:val="24"/>
          <w:szCs w:val="24"/>
          <w:lang w:val="id-ID"/>
        </w:rPr>
      </w:pPr>
    </w:p>
    <w:p w14:paraId="07251E67" w14:textId="081AF4FC" w:rsidR="006E5BD8" w:rsidRPr="004472FB" w:rsidRDefault="00D2621B" w:rsidP="004472FB">
      <w:pPr>
        <w:jc w:val="both"/>
        <w:rPr>
          <w:rFonts w:ascii="Book Antiqua" w:hAnsi="Book Antiqua"/>
          <w:b/>
          <w:bCs/>
          <w:sz w:val="24"/>
          <w:szCs w:val="24"/>
          <w:lang w:val="id-ID"/>
        </w:rPr>
      </w:pPr>
      <w:r w:rsidRPr="004472FB">
        <w:rPr>
          <w:rFonts w:ascii="Book Antiqua" w:hAnsi="Book Antiqua"/>
          <w:b/>
          <w:bCs/>
          <w:sz w:val="24"/>
          <w:szCs w:val="24"/>
          <w:lang w:val="id-ID"/>
        </w:rPr>
        <w:t>Gambaran Umum Kesejahteraan Mental Mahasiswa yang Mengalami Kecemasan Berdasarkan Aspek</w:t>
      </w:r>
    </w:p>
    <w:p w14:paraId="365C1F2F" w14:textId="3A6F6E78" w:rsidR="006E5BD8" w:rsidRDefault="00D2621B" w:rsidP="00E31F4A">
      <w:pPr>
        <w:ind w:firstLine="709"/>
        <w:jc w:val="both"/>
        <w:rPr>
          <w:rFonts w:ascii="Book Antiqua" w:hAnsi="Book Antiqua"/>
          <w:bCs/>
          <w:sz w:val="24"/>
          <w:szCs w:val="24"/>
          <w:lang w:val="id-ID"/>
        </w:rPr>
      </w:pPr>
      <w:r w:rsidRPr="004472FB">
        <w:rPr>
          <w:rFonts w:ascii="Book Antiqua" w:hAnsi="Book Antiqua"/>
          <w:bCs/>
          <w:sz w:val="24"/>
          <w:szCs w:val="24"/>
          <w:lang w:val="id-ID"/>
        </w:rPr>
        <w:t>Berikut ini disajikan tabel mengenai gambaran umum kesejahteraan mental mahasiswa yang mengalami kecemasan berdasarkan aspek:</w:t>
      </w:r>
    </w:p>
    <w:p w14:paraId="30BFC1E5" w14:textId="77777777" w:rsidR="00E31F4A" w:rsidRPr="00E31F4A" w:rsidRDefault="00E31F4A" w:rsidP="00E31F4A">
      <w:pPr>
        <w:ind w:firstLine="709"/>
        <w:jc w:val="both"/>
        <w:rPr>
          <w:rFonts w:ascii="Book Antiqua" w:hAnsi="Book Antiqua"/>
          <w:bCs/>
          <w:sz w:val="12"/>
          <w:szCs w:val="12"/>
          <w:lang w:val="id-ID"/>
        </w:rPr>
      </w:pPr>
    </w:p>
    <w:p w14:paraId="45D38EF5" w14:textId="77777777" w:rsidR="00E31F4A" w:rsidRDefault="00152D1F" w:rsidP="004472FB">
      <w:pPr>
        <w:pStyle w:val="Caption"/>
        <w:spacing w:after="0"/>
        <w:jc w:val="center"/>
        <w:rPr>
          <w:rFonts w:ascii="Book Antiqua" w:hAnsi="Book Antiqua"/>
          <w:b/>
          <w:bCs/>
          <w:i w:val="0"/>
          <w:iCs w:val="0"/>
          <w:color w:val="auto"/>
          <w:sz w:val="22"/>
          <w:szCs w:val="22"/>
          <w:lang w:val="id-ID"/>
        </w:rPr>
      </w:pPr>
      <w:r w:rsidRPr="00E31F4A">
        <w:rPr>
          <w:rFonts w:ascii="Book Antiqua" w:hAnsi="Book Antiqua"/>
          <w:b/>
          <w:bCs/>
          <w:i w:val="0"/>
          <w:iCs w:val="0"/>
          <w:color w:val="auto"/>
          <w:sz w:val="22"/>
          <w:szCs w:val="22"/>
          <w:lang w:val="id-ID"/>
        </w:rPr>
        <w:t xml:space="preserve">Tabel </w:t>
      </w:r>
      <w:r w:rsidRPr="00E31F4A">
        <w:rPr>
          <w:rFonts w:ascii="Book Antiqua" w:hAnsi="Book Antiqua"/>
          <w:b/>
          <w:bCs/>
          <w:i w:val="0"/>
          <w:iCs w:val="0"/>
          <w:color w:val="auto"/>
          <w:sz w:val="22"/>
          <w:szCs w:val="22"/>
          <w:lang w:val="id-ID"/>
        </w:rPr>
        <w:fldChar w:fldCharType="begin"/>
      </w:r>
      <w:r w:rsidRPr="00E31F4A">
        <w:rPr>
          <w:rFonts w:ascii="Book Antiqua" w:hAnsi="Book Antiqua"/>
          <w:b/>
          <w:bCs/>
          <w:i w:val="0"/>
          <w:iCs w:val="0"/>
          <w:color w:val="auto"/>
          <w:sz w:val="22"/>
          <w:szCs w:val="22"/>
          <w:lang w:val="id-ID"/>
        </w:rPr>
        <w:instrText xml:space="preserve"> SEQ Tabel \* ARABIC </w:instrText>
      </w:r>
      <w:r w:rsidRPr="00E31F4A">
        <w:rPr>
          <w:rFonts w:ascii="Book Antiqua" w:hAnsi="Book Antiqua"/>
          <w:b/>
          <w:bCs/>
          <w:i w:val="0"/>
          <w:iCs w:val="0"/>
          <w:color w:val="auto"/>
          <w:sz w:val="22"/>
          <w:szCs w:val="22"/>
          <w:lang w:val="id-ID"/>
        </w:rPr>
        <w:fldChar w:fldCharType="separate"/>
      </w:r>
      <w:r w:rsidR="002C6A2B" w:rsidRPr="00E31F4A">
        <w:rPr>
          <w:rFonts w:ascii="Book Antiqua" w:hAnsi="Book Antiqua"/>
          <w:b/>
          <w:bCs/>
          <w:i w:val="0"/>
          <w:iCs w:val="0"/>
          <w:noProof/>
          <w:color w:val="auto"/>
          <w:sz w:val="22"/>
          <w:szCs w:val="22"/>
          <w:lang w:val="id-ID"/>
        </w:rPr>
        <w:t>5</w:t>
      </w:r>
      <w:r w:rsidRPr="00E31F4A">
        <w:rPr>
          <w:rFonts w:ascii="Book Antiqua" w:hAnsi="Book Antiqua"/>
          <w:b/>
          <w:bCs/>
          <w:i w:val="0"/>
          <w:iCs w:val="0"/>
          <w:color w:val="auto"/>
          <w:sz w:val="22"/>
          <w:szCs w:val="22"/>
          <w:lang w:val="id-ID"/>
        </w:rPr>
        <w:fldChar w:fldCharType="end"/>
      </w:r>
      <w:r w:rsidRPr="00E31F4A">
        <w:rPr>
          <w:rFonts w:ascii="Book Antiqua" w:hAnsi="Book Antiqua"/>
          <w:b/>
          <w:bCs/>
          <w:i w:val="0"/>
          <w:iCs w:val="0"/>
          <w:color w:val="auto"/>
          <w:sz w:val="22"/>
          <w:szCs w:val="22"/>
          <w:lang w:val="id-ID"/>
        </w:rPr>
        <w:t xml:space="preserve">. Gambaran Umum Kesejahteraan Mental Mahasiswa </w:t>
      </w:r>
    </w:p>
    <w:p w14:paraId="726401FA" w14:textId="59C3C118" w:rsidR="00D2621B" w:rsidRPr="00E31F4A" w:rsidRDefault="00152D1F" w:rsidP="004472FB">
      <w:pPr>
        <w:pStyle w:val="Caption"/>
        <w:spacing w:after="0"/>
        <w:jc w:val="center"/>
        <w:rPr>
          <w:rFonts w:ascii="Book Antiqua" w:hAnsi="Book Antiqua"/>
          <w:b/>
          <w:bCs/>
          <w:i w:val="0"/>
          <w:iCs w:val="0"/>
          <w:color w:val="auto"/>
          <w:sz w:val="22"/>
          <w:szCs w:val="22"/>
          <w:lang w:val="id-ID"/>
        </w:rPr>
      </w:pPr>
      <w:r w:rsidRPr="00E31F4A">
        <w:rPr>
          <w:rFonts w:ascii="Book Antiqua" w:hAnsi="Book Antiqua"/>
          <w:b/>
          <w:bCs/>
          <w:i w:val="0"/>
          <w:iCs w:val="0"/>
          <w:color w:val="auto"/>
          <w:sz w:val="22"/>
          <w:szCs w:val="22"/>
          <w:lang w:val="id-ID"/>
        </w:rPr>
        <w:t>yang Mengalami Kecemasan Berdasarkan Aspek</w:t>
      </w:r>
    </w:p>
    <w:tbl>
      <w:tblPr>
        <w:tblStyle w:val="TableGrid"/>
        <w:tblW w:w="0" w:type="auto"/>
        <w:tblLook w:val="04A0" w:firstRow="1" w:lastRow="0" w:firstColumn="1" w:lastColumn="0" w:noHBand="0" w:noVBand="1"/>
      </w:tblPr>
      <w:tblGrid>
        <w:gridCol w:w="1706"/>
        <w:gridCol w:w="958"/>
        <w:gridCol w:w="756"/>
        <w:gridCol w:w="686"/>
        <w:gridCol w:w="2274"/>
        <w:gridCol w:w="987"/>
        <w:gridCol w:w="756"/>
        <w:gridCol w:w="654"/>
      </w:tblGrid>
      <w:tr w:rsidR="00D2621B" w:rsidRPr="00E31F4A" w14:paraId="76B68410" w14:textId="77777777" w:rsidTr="00152D1F">
        <w:tc>
          <w:tcPr>
            <w:tcW w:w="1706" w:type="dxa"/>
            <w:vAlign w:val="center"/>
          </w:tcPr>
          <w:p w14:paraId="37644639" w14:textId="7CE8EE9E" w:rsidR="00D2621B" w:rsidRPr="00E31F4A" w:rsidRDefault="00D2621B" w:rsidP="004472FB">
            <w:pPr>
              <w:ind w:left="-113" w:right="-113"/>
              <w:jc w:val="center"/>
              <w:rPr>
                <w:rFonts w:ascii="Book Antiqua" w:hAnsi="Book Antiqua"/>
                <w:b/>
                <w:bCs/>
                <w:sz w:val="22"/>
                <w:szCs w:val="22"/>
                <w:lang w:val="id-ID"/>
              </w:rPr>
            </w:pPr>
            <w:r w:rsidRPr="00E31F4A">
              <w:rPr>
                <w:rFonts w:ascii="Book Antiqua" w:hAnsi="Book Antiqua"/>
                <w:b/>
                <w:bCs/>
                <w:sz w:val="22"/>
                <w:szCs w:val="22"/>
                <w:lang w:val="id-ID"/>
              </w:rPr>
              <w:t>Aspek</w:t>
            </w:r>
          </w:p>
        </w:tc>
        <w:tc>
          <w:tcPr>
            <w:tcW w:w="958" w:type="dxa"/>
            <w:vAlign w:val="center"/>
          </w:tcPr>
          <w:p w14:paraId="1CE6C8E2" w14:textId="38BF5D8C" w:rsidR="00D2621B" w:rsidRPr="00E31F4A" w:rsidRDefault="00152D1F" w:rsidP="004472FB">
            <w:pPr>
              <w:ind w:left="-101" w:right="-92"/>
              <w:jc w:val="center"/>
              <w:rPr>
                <w:rFonts w:ascii="Book Antiqua" w:hAnsi="Book Antiqua"/>
                <w:b/>
                <w:bCs/>
                <w:sz w:val="22"/>
                <w:szCs w:val="22"/>
                <w:lang w:val="id-ID"/>
              </w:rPr>
            </w:pPr>
            <w:r w:rsidRPr="00E31F4A">
              <w:rPr>
                <w:rFonts w:ascii="Book Antiqua" w:hAnsi="Book Antiqua"/>
                <w:b/>
                <w:bCs/>
                <w:sz w:val="22"/>
                <w:szCs w:val="22"/>
                <w:lang w:val="id-ID"/>
              </w:rPr>
              <w:t>%</w:t>
            </w:r>
          </w:p>
        </w:tc>
        <w:tc>
          <w:tcPr>
            <w:tcW w:w="756" w:type="dxa"/>
            <w:vAlign w:val="center"/>
          </w:tcPr>
          <w:p w14:paraId="5CB54736" w14:textId="643B1176" w:rsidR="00D2621B" w:rsidRPr="00E31F4A" w:rsidRDefault="00D2621B" w:rsidP="004472FB">
            <w:pPr>
              <w:ind w:left="-31" w:right="-69"/>
              <w:jc w:val="center"/>
              <w:rPr>
                <w:rFonts w:ascii="Book Antiqua" w:hAnsi="Book Antiqua"/>
                <w:b/>
                <w:bCs/>
                <w:sz w:val="22"/>
                <w:szCs w:val="22"/>
                <w:lang w:val="id-ID"/>
              </w:rPr>
            </w:pPr>
            <w:r w:rsidRPr="00E31F4A">
              <w:rPr>
                <w:rFonts w:ascii="Book Antiqua" w:hAnsi="Book Antiqua"/>
                <w:b/>
                <w:bCs/>
                <w:sz w:val="22"/>
                <w:szCs w:val="22"/>
                <w:lang w:val="id-ID"/>
              </w:rPr>
              <w:t>M</w:t>
            </w:r>
          </w:p>
        </w:tc>
        <w:tc>
          <w:tcPr>
            <w:tcW w:w="686" w:type="dxa"/>
            <w:vAlign w:val="center"/>
          </w:tcPr>
          <w:p w14:paraId="3179DCE7" w14:textId="7B0EEA67" w:rsidR="00D2621B" w:rsidRPr="00E31F4A" w:rsidRDefault="00D2621B" w:rsidP="004472FB">
            <w:pPr>
              <w:ind w:left="-133" w:right="-80"/>
              <w:jc w:val="center"/>
              <w:rPr>
                <w:rFonts w:ascii="Book Antiqua" w:hAnsi="Book Antiqua"/>
                <w:b/>
                <w:bCs/>
                <w:sz w:val="22"/>
                <w:szCs w:val="22"/>
                <w:lang w:val="id-ID"/>
              </w:rPr>
            </w:pPr>
            <w:r w:rsidRPr="00E31F4A">
              <w:rPr>
                <w:rFonts w:ascii="Book Antiqua" w:hAnsi="Book Antiqua"/>
                <w:b/>
                <w:bCs/>
                <w:sz w:val="22"/>
                <w:szCs w:val="22"/>
                <w:lang w:val="id-ID"/>
              </w:rPr>
              <w:t>SD</w:t>
            </w:r>
          </w:p>
        </w:tc>
        <w:tc>
          <w:tcPr>
            <w:tcW w:w="2274" w:type="dxa"/>
            <w:vAlign w:val="center"/>
          </w:tcPr>
          <w:p w14:paraId="2B1C4E2E" w14:textId="1F0A09AD" w:rsidR="00D2621B" w:rsidRPr="00E31F4A" w:rsidRDefault="00D2621B" w:rsidP="004472FB">
            <w:pPr>
              <w:ind w:right="-103"/>
              <w:jc w:val="center"/>
              <w:rPr>
                <w:rFonts w:ascii="Book Antiqua" w:hAnsi="Book Antiqua"/>
                <w:b/>
                <w:bCs/>
                <w:sz w:val="22"/>
                <w:szCs w:val="22"/>
                <w:lang w:val="id-ID"/>
              </w:rPr>
            </w:pPr>
            <w:r w:rsidRPr="00E31F4A">
              <w:rPr>
                <w:rFonts w:ascii="Book Antiqua" w:hAnsi="Book Antiqua"/>
                <w:b/>
                <w:bCs/>
                <w:sz w:val="22"/>
                <w:szCs w:val="22"/>
                <w:lang w:val="id-ID"/>
              </w:rPr>
              <w:t>Indikator</w:t>
            </w:r>
          </w:p>
        </w:tc>
        <w:tc>
          <w:tcPr>
            <w:tcW w:w="987" w:type="dxa"/>
            <w:vAlign w:val="center"/>
          </w:tcPr>
          <w:p w14:paraId="77F00064" w14:textId="36599C1D" w:rsidR="00D2621B" w:rsidRPr="00E31F4A" w:rsidRDefault="00152D1F" w:rsidP="004472FB">
            <w:pPr>
              <w:ind w:left="-111" w:right="-41"/>
              <w:jc w:val="center"/>
              <w:rPr>
                <w:rFonts w:ascii="Book Antiqua" w:hAnsi="Book Antiqua"/>
                <w:b/>
                <w:bCs/>
                <w:sz w:val="22"/>
                <w:szCs w:val="22"/>
                <w:lang w:val="id-ID"/>
              </w:rPr>
            </w:pPr>
            <w:r w:rsidRPr="00E31F4A">
              <w:rPr>
                <w:rFonts w:ascii="Book Antiqua" w:hAnsi="Book Antiqua"/>
                <w:b/>
                <w:bCs/>
                <w:sz w:val="22"/>
                <w:szCs w:val="22"/>
                <w:lang w:val="id-ID"/>
              </w:rPr>
              <w:t>%</w:t>
            </w:r>
          </w:p>
        </w:tc>
        <w:tc>
          <w:tcPr>
            <w:tcW w:w="756" w:type="dxa"/>
            <w:vAlign w:val="center"/>
          </w:tcPr>
          <w:p w14:paraId="26CB9D65" w14:textId="13EADAAD" w:rsidR="00D2621B" w:rsidRPr="00E31F4A" w:rsidRDefault="00D2621B" w:rsidP="004472FB">
            <w:pPr>
              <w:ind w:left="-110" w:right="-109"/>
              <w:jc w:val="center"/>
              <w:rPr>
                <w:rFonts w:ascii="Book Antiqua" w:hAnsi="Book Antiqua"/>
                <w:b/>
                <w:bCs/>
                <w:sz w:val="22"/>
                <w:szCs w:val="22"/>
                <w:lang w:val="id-ID"/>
              </w:rPr>
            </w:pPr>
            <w:r w:rsidRPr="00E31F4A">
              <w:rPr>
                <w:rFonts w:ascii="Book Antiqua" w:hAnsi="Book Antiqua"/>
                <w:b/>
                <w:bCs/>
                <w:sz w:val="22"/>
                <w:szCs w:val="22"/>
                <w:lang w:val="id-ID"/>
              </w:rPr>
              <w:t>M</w:t>
            </w:r>
          </w:p>
        </w:tc>
        <w:tc>
          <w:tcPr>
            <w:tcW w:w="654" w:type="dxa"/>
            <w:vAlign w:val="center"/>
          </w:tcPr>
          <w:p w14:paraId="4D4BF9AF" w14:textId="61D39954" w:rsidR="00D2621B" w:rsidRPr="00E31F4A" w:rsidRDefault="00D2621B" w:rsidP="004472FB">
            <w:pPr>
              <w:ind w:left="-66" w:right="-114"/>
              <w:jc w:val="center"/>
              <w:rPr>
                <w:rFonts w:ascii="Book Antiqua" w:hAnsi="Book Antiqua"/>
                <w:b/>
                <w:bCs/>
                <w:sz w:val="22"/>
                <w:szCs w:val="22"/>
                <w:lang w:val="id-ID"/>
              </w:rPr>
            </w:pPr>
            <w:r w:rsidRPr="00E31F4A">
              <w:rPr>
                <w:rFonts w:ascii="Book Antiqua" w:hAnsi="Book Antiqua"/>
                <w:b/>
                <w:bCs/>
                <w:sz w:val="22"/>
                <w:szCs w:val="22"/>
                <w:lang w:val="id-ID"/>
              </w:rPr>
              <w:t>SD</w:t>
            </w:r>
          </w:p>
        </w:tc>
      </w:tr>
      <w:tr w:rsidR="00D2621B" w:rsidRPr="00E31F4A" w14:paraId="57BDEED0" w14:textId="77777777" w:rsidTr="00152D1F">
        <w:tc>
          <w:tcPr>
            <w:tcW w:w="1706" w:type="dxa"/>
            <w:vAlign w:val="center"/>
          </w:tcPr>
          <w:p w14:paraId="52F563AE" w14:textId="0706C4A3"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Kesejahteraan Emosional</w:t>
            </w:r>
            <w:r w:rsidR="00152D1F" w:rsidRPr="00E31F4A">
              <w:rPr>
                <w:rFonts w:ascii="Book Antiqua" w:hAnsi="Book Antiqua"/>
                <w:sz w:val="22"/>
                <w:szCs w:val="22"/>
                <w:lang w:val="id-ID"/>
              </w:rPr>
              <w:t xml:space="preserve"> (</w:t>
            </w:r>
            <w:r w:rsidR="00152D1F" w:rsidRPr="00E31F4A">
              <w:rPr>
                <w:rFonts w:ascii="Book Antiqua" w:hAnsi="Book Antiqua"/>
                <w:i/>
                <w:iCs/>
                <w:sz w:val="22"/>
                <w:szCs w:val="22"/>
                <w:lang w:val="id-ID"/>
              </w:rPr>
              <w:t>Hedonic</w:t>
            </w:r>
            <w:r w:rsidR="00152D1F" w:rsidRPr="00E31F4A">
              <w:rPr>
                <w:rFonts w:ascii="Book Antiqua" w:hAnsi="Book Antiqua"/>
                <w:sz w:val="22"/>
                <w:szCs w:val="22"/>
                <w:lang w:val="id-ID"/>
              </w:rPr>
              <w:t>)</w:t>
            </w:r>
          </w:p>
        </w:tc>
        <w:tc>
          <w:tcPr>
            <w:tcW w:w="958" w:type="dxa"/>
            <w:vAlign w:val="center"/>
          </w:tcPr>
          <w:p w14:paraId="2AFDEC72" w14:textId="1A8BD7FF"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68,72%</w:t>
            </w:r>
          </w:p>
        </w:tc>
        <w:tc>
          <w:tcPr>
            <w:tcW w:w="756" w:type="dxa"/>
            <w:vAlign w:val="center"/>
          </w:tcPr>
          <w:p w14:paraId="6A6489E8" w14:textId="1BEB6427"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10,31</w:t>
            </w:r>
          </w:p>
        </w:tc>
        <w:tc>
          <w:tcPr>
            <w:tcW w:w="686" w:type="dxa"/>
            <w:vAlign w:val="center"/>
          </w:tcPr>
          <w:p w14:paraId="2E0B87D6" w14:textId="4D5A01C9"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2,34</w:t>
            </w:r>
          </w:p>
        </w:tc>
        <w:tc>
          <w:tcPr>
            <w:tcW w:w="2274" w:type="dxa"/>
            <w:vAlign w:val="center"/>
          </w:tcPr>
          <w:p w14:paraId="0B66EE91" w14:textId="0C185670"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Perasaan Positif (</w:t>
            </w:r>
            <w:r w:rsidR="00152D1F" w:rsidRPr="00E31F4A">
              <w:rPr>
                <w:rFonts w:ascii="Book Antiqua" w:hAnsi="Book Antiqua"/>
                <w:i/>
                <w:iCs/>
                <w:sz w:val="22"/>
                <w:szCs w:val="22"/>
                <w:lang w:val="id-ID"/>
              </w:rPr>
              <w:t>Positive Affect</w:t>
            </w:r>
            <w:r w:rsidR="00152D1F" w:rsidRPr="00E31F4A">
              <w:rPr>
                <w:rFonts w:ascii="Book Antiqua" w:hAnsi="Book Antiqua"/>
                <w:sz w:val="22"/>
                <w:szCs w:val="22"/>
                <w:lang w:val="id-ID"/>
              </w:rPr>
              <w:t>)</w:t>
            </w:r>
          </w:p>
        </w:tc>
        <w:tc>
          <w:tcPr>
            <w:tcW w:w="987" w:type="dxa"/>
            <w:vAlign w:val="center"/>
          </w:tcPr>
          <w:p w14:paraId="06DAF1A4" w14:textId="5CE1B34F"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68,72%</w:t>
            </w:r>
          </w:p>
        </w:tc>
        <w:tc>
          <w:tcPr>
            <w:tcW w:w="756" w:type="dxa"/>
            <w:vAlign w:val="center"/>
          </w:tcPr>
          <w:p w14:paraId="067E0F76" w14:textId="5A93A363"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10,31</w:t>
            </w:r>
          </w:p>
        </w:tc>
        <w:tc>
          <w:tcPr>
            <w:tcW w:w="654" w:type="dxa"/>
            <w:vAlign w:val="center"/>
          </w:tcPr>
          <w:p w14:paraId="1874E690" w14:textId="2E2CC459" w:rsidR="00D2621B" w:rsidRPr="00E31F4A" w:rsidRDefault="00D2621B" w:rsidP="004472FB">
            <w:pPr>
              <w:jc w:val="center"/>
              <w:rPr>
                <w:rFonts w:ascii="Book Antiqua" w:hAnsi="Book Antiqua"/>
                <w:sz w:val="22"/>
                <w:szCs w:val="22"/>
                <w:lang w:val="id-ID"/>
              </w:rPr>
            </w:pPr>
            <w:r w:rsidRPr="00E31F4A">
              <w:rPr>
                <w:rFonts w:ascii="Book Antiqua" w:hAnsi="Book Antiqua"/>
                <w:sz w:val="22"/>
                <w:szCs w:val="22"/>
                <w:lang w:val="id-ID"/>
              </w:rPr>
              <w:t>2,34</w:t>
            </w:r>
          </w:p>
        </w:tc>
      </w:tr>
      <w:tr w:rsidR="00152D1F" w:rsidRPr="00E31F4A" w14:paraId="5B3E78F0" w14:textId="77777777" w:rsidTr="00152D1F">
        <w:tc>
          <w:tcPr>
            <w:tcW w:w="1706" w:type="dxa"/>
            <w:vMerge w:val="restart"/>
            <w:vAlign w:val="center"/>
          </w:tcPr>
          <w:p w14:paraId="2C7F8CDD" w14:textId="52BF0A0F"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Kesejahteraan Psikologis (</w:t>
            </w:r>
            <w:r w:rsidRPr="00E31F4A">
              <w:rPr>
                <w:rFonts w:ascii="Book Antiqua" w:hAnsi="Book Antiqua"/>
                <w:i/>
                <w:iCs/>
                <w:sz w:val="22"/>
                <w:szCs w:val="22"/>
                <w:lang w:val="id-ID"/>
              </w:rPr>
              <w:t>Eudaimonic</w:t>
            </w:r>
            <w:r w:rsidRPr="00E31F4A">
              <w:rPr>
                <w:rFonts w:ascii="Book Antiqua" w:hAnsi="Book Antiqua"/>
                <w:sz w:val="22"/>
                <w:szCs w:val="22"/>
                <w:lang w:val="id-ID"/>
              </w:rPr>
              <w:t>)</w:t>
            </w:r>
          </w:p>
        </w:tc>
        <w:tc>
          <w:tcPr>
            <w:tcW w:w="958" w:type="dxa"/>
            <w:vMerge w:val="restart"/>
            <w:vAlign w:val="center"/>
          </w:tcPr>
          <w:p w14:paraId="344BB1F5" w14:textId="530958E6"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68,94%</w:t>
            </w:r>
          </w:p>
        </w:tc>
        <w:tc>
          <w:tcPr>
            <w:tcW w:w="756" w:type="dxa"/>
            <w:vMerge w:val="restart"/>
            <w:vAlign w:val="center"/>
          </w:tcPr>
          <w:p w14:paraId="56F6DC45" w14:textId="2B5D4C12"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37,91</w:t>
            </w:r>
          </w:p>
        </w:tc>
        <w:tc>
          <w:tcPr>
            <w:tcW w:w="686" w:type="dxa"/>
            <w:vMerge w:val="restart"/>
            <w:vAlign w:val="center"/>
          </w:tcPr>
          <w:p w14:paraId="576D1BDB" w14:textId="7971D314"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6,78</w:t>
            </w:r>
          </w:p>
        </w:tc>
        <w:tc>
          <w:tcPr>
            <w:tcW w:w="2274" w:type="dxa"/>
            <w:vAlign w:val="center"/>
          </w:tcPr>
          <w:p w14:paraId="0FD283C4" w14:textId="5A7854EB"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Fungsi Psikologis (</w:t>
            </w:r>
            <w:r w:rsidRPr="00E31F4A">
              <w:rPr>
                <w:rFonts w:ascii="Book Antiqua" w:hAnsi="Book Antiqua"/>
                <w:i/>
                <w:iCs/>
                <w:sz w:val="22"/>
                <w:szCs w:val="22"/>
                <w:lang w:val="id-ID"/>
              </w:rPr>
              <w:t>Psychological Functioning</w:t>
            </w:r>
            <w:r w:rsidRPr="00E31F4A">
              <w:rPr>
                <w:rFonts w:ascii="Book Antiqua" w:hAnsi="Book Antiqua"/>
                <w:sz w:val="22"/>
                <w:szCs w:val="22"/>
                <w:lang w:val="id-ID"/>
              </w:rPr>
              <w:t>)</w:t>
            </w:r>
          </w:p>
        </w:tc>
        <w:tc>
          <w:tcPr>
            <w:tcW w:w="987" w:type="dxa"/>
            <w:vAlign w:val="center"/>
          </w:tcPr>
          <w:p w14:paraId="1A15BC90" w14:textId="5180CE11"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65,89%</w:t>
            </w:r>
          </w:p>
        </w:tc>
        <w:tc>
          <w:tcPr>
            <w:tcW w:w="756" w:type="dxa"/>
            <w:vAlign w:val="center"/>
          </w:tcPr>
          <w:p w14:paraId="554BC527" w14:textId="2C80552D"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19,77</w:t>
            </w:r>
          </w:p>
        </w:tc>
        <w:tc>
          <w:tcPr>
            <w:tcW w:w="654" w:type="dxa"/>
            <w:vAlign w:val="center"/>
          </w:tcPr>
          <w:p w14:paraId="4EEFA94B" w14:textId="72FD199C"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3,99</w:t>
            </w:r>
          </w:p>
        </w:tc>
      </w:tr>
      <w:tr w:rsidR="00152D1F" w:rsidRPr="00E31F4A" w14:paraId="5771AAC0" w14:textId="77777777" w:rsidTr="00152D1F">
        <w:tc>
          <w:tcPr>
            <w:tcW w:w="1706" w:type="dxa"/>
            <w:vMerge/>
            <w:vAlign w:val="center"/>
          </w:tcPr>
          <w:p w14:paraId="06B26F19" w14:textId="77777777" w:rsidR="00152D1F" w:rsidRPr="00E31F4A" w:rsidRDefault="00152D1F" w:rsidP="004472FB">
            <w:pPr>
              <w:jc w:val="center"/>
              <w:rPr>
                <w:rFonts w:ascii="Book Antiqua" w:hAnsi="Book Antiqua"/>
                <w:sz w:val="22"/>
                <w:szCs w:val="22"/>
                <w:lang w:val="id-ID"/>
              </w:rPr>
            </w:pPr>
          </w:p>
        </w:tc>
        <w:tc>
          <w:tcPr>
            <w:tcW w:w="958" w:type="dxa"/>
            <w:vMerge/>
            <w:vAlign w:val="center"/>
          </w:tcPr>
          <w:p w14:paraId="065CD8BE" w14:textId="77777777" w:rsidR="00152D1F" w:rsidRPr="00E31F4A" w:rsidRDefault="00152D1F" w:rsidP="004472FB">
            <w:pPr>
              <w:jc w:val="center"/>
              <w:rPr>
                <w:rFonts w:ascii="Book Antiqua" w:hAnsi="Book Antiqua"/>
                <w:sz w:val="22"/>
                <w:szCs w:val="22"/>
                <w:lang w:val="id-ID"/>
              </w:rPr>
            </w:pPr>
          </w:p>
        </w:tc>
        <w:tc>
          <w:tcPr>
            <w:tcW w:w="756" w:type="dxa"/>
            <w:vMerge/>
            <w:vAlign w:val="center"/>
          </w:tcPr>
          <w:p w14:paraId="32F3AF84" w14:textId="77777777" w:rsidR="00152D1F" w:rsidRPr="00E31F4A" w:rsidRDefault="00152D1F" w:rsidP="004472FB">
            <w:pPr>
              <w:jc w:val="center"/>
              <w:rPr>
                <w:rFonts w:ascii="Book Antiqua" w:hAnsi="Book Antiqua"/>
                <w:sz w:val="22"/>
                <w:szCs w:val="22"/>
                <w:lang w:val="id-ID"/>
              </w:rPr>
            </w:pPr>
          </w:p>
        </w:tc>
        <w:tc>
          <w:tcPr>
            <w:tcW w:w="686" w:type="dxa"/>
            <w:vMerge/>
            <w:vAlign w:val="center"/>
          </w:tcPr>
          <w:p w14:paraId="49A12129" w14:textId="77777777" w:rsidR="00152D1F" w:rsidRPr="00E31F4A" w:rsidRDefault="00152D1F" w:rsidP="004472FB">
            <w:pPr>
              <w:jc w:val="center"/>
              <w:rPr>
                <w:rFonts w:ascii="Book Antiqua" w:hAnsi="Book Antiqua"/>
                <w:sz w:val="22"/>
                <w:szCs w:val="22"/>
                <w:lang w:val="id-ID"/>
              </w:rPr>
            </w:pPr>
          </w:p>
        </w:tc>
        <w:tc>
          <w:tcPr>
            <w:tcW w:w="2274" w:type="dxa"/>
            <w:vAlign w:val="center"/>
          </w:tcPr>
          <w:p w14:paraId="4582034D" w14:textId="7B029126"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Penerimaan Diri (</w:t>
            </w:r>
            <w:r w:rsidRPr="00E31F4A">
              <w:rPr>
                <w:rFonts w:ascii="Book Antiqua" w:hAnsi="Book Antiqua"/>
                <w:i/>
                <w:iCs/>
                <w:sz w:val="22"/>
                <w:szCs w:val="22"/>
                <w:lang w:val="id-ID"/>
              </w:rPr>
              <w:t>Self-Acceptance</w:t>
            </w:r>
            <w:r w:rsidRPr="00E31F4A">
              <w:rPr>
                <w:rFonts w:ascii="Book Antiqua" w:hAnsi="Book Antiqua"/>
                <w:sz w:val="22"/>
                <w:szCs w:val="22"/>
                <w:lang w:val="id-ID"/>
              </w:rPr>
              <w:t>)</w:t>
            </w:r>
          </w:p>
        </w:tc>
        <w:tc>
          <w:tcPr>
            <w:tcW w:w="987" w:type="dxa"/>
            <w:vAlign w:val="center"/>
          </w:tcPr>
          <w:p w14:paraId="27C57FE9" w14:textId="553BC539"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75,96%</w:t>
            </w:r>
          </w:p>
        </w:tc>
        <w:tc>
          <w:tcPr>
            <w:tcW w:w="756" w:type="dxa"/>
            <w:vAlign w:val="center"/>
          </w:tcPr>
          <w:p w14:paraId="1E0C948D" w14:textId="3FC1D858"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3,80</w:t>
            </w:r>
          </w:p>
        </w:tc>
        <w:tc>
          <w:tcPr>
            <w:tcW w:w="654" w:type="dxa"/>
            <w:vAlign w:val="center"/>
          </w:tcPr>
          <w:p w14:paraId="5EC8C670" w14:textId="3E93A595"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0,93</w:t>
            </w:r>
          </w:p>
        </w:tc>
      </w:tr>
      <w:tr w:rsidR="00152D1F" w:rsidRPr="00E31F4A" w14:paraId="2559BEB8" w14:textId="77777777" w:rsidTr="00152D1F">
        <w:tc>
          <w:tcPr>
            <w:tcW w:w="1706" w:type="dxa"/>
            <w:vMerge/>
            <w:vAlign w:val="center"/>
          </w:tcPr>
          <w:p w14:paraId="3EB06F73" w14:textId="77777777" w:rsidR="00152D1F" w:rsidRPr="00E31F4A" w:rsidRDefault="00152D1F" w:rsidP="004472FB">
            <w:pPr>
              <w:jc w:val="center"/>
              <w:rPr>
                <w:rFonts w:ascii="Book Antiqua" w:hAnsi="Book Antiqua"/>
                <w:sz w:val="22"/>
                <w:szCs w:val="22"/>
                <w:lang w:val="id-ID"/>
              </w:rPr>
            </w:pPr>
          </w:p>
        </w:tc>
        <w:tc>
          <w:tcPr>
            <w:tcW w:w="958" w:type="dxa"/>
            <w:vMerge/>
            <w:vAlign w:val="center"/>
          </w:tcPr>
          <w:p w14:paraId="11B0779B" w14:textId="77777777" w:rsidR="00152D1F" w:rsidRPr="00E31F4A" w:rsidRDefault="00152D1F" w:rsidP="004472FB">
            <w:pPr>
              <w:jc w:val="center"/>
              <w:rPr>
                <w:rFonts w:ascii="Book Antiqua" w:hAnsi="Book Antiqua"/>
                <w:sz w:val="22"/>
                <w:szCs w:val="22"/>
                <w:lang w:val="id-ID"/>
              </w:rPr>
            </w:pPr>
          </w:p>
        </w:tc>
        <w:tc>
          <w:tcPr>
            <w:tcW w:w="756" w:type="dxa"/>
            <w:vMerge/>
            <w:vAlign w:val="center"/>
          </w:tcPr>
          <w:p w14:paraId="39E92D35" w14:textId="77777777" w:rsidR="00152D1F" w:rsidRPr="00E31F4A" w:rsidRDefault="00152D1F" w:rsidP="004472FB">
            <w:pPr>
              <w:jc w:val="center"/>
              <w:rPr>
                <w:rFonts w:ascii="Book Antiqua" w:hAnsi="Book Antiqua"/>
                <w:sz w:val="22"/>
                <w:szCs w:val="22"/>
                <w:lang w:val="id-ID"/>
              </w:rPr>
            </w:pPr>
          </w:p>
        </w:tc>
        <w:tc>
          <w:tcPr>
            <w:tcW w:w="686" w:type="dxa"/>
            <w:vMerge/>
            <w:vAlign w:val="center"/>
          </w:tcPr>
          <w:p w14:paraId="41781110" w14:textId="77777777" w:rsidR="00152D1F" w:rsidRPr="00E31F4A" w:rsidRDefault="00152D1F" w:rsidP="004472FB">
            <w:pPr>
              <w:jc w:val="center"/>
              <w:rPr>
                <w:rFonts w:ascii="Book Antiqua" w:hAnsi="Book Antiqua"/>
                <w:sz w:val="22"/>
                <w:szCs w:val="22"/>
                <w:lang w:val="id-ID"/>
              </w:rPr>
            </w:pPr>
          </w:p>
        </w:tc>
        <w:tc>
          <w:tcPr>
            <w:tcW w:w="2274" w:type="dxa"/>
            <w:vAlign w:val="center"/>
          </w:tcPr>
          <w:p w14:paraId="36335F3E" w14:textId="5CB2F5BB"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Hubungan Interpersonal (</w:t>
            </w:r>
            <w:r w:rsidRPr="00E31F4A">
              <w:rPr>
                <w:rFonts w:ascii="Book Antiqua" w:hAnsi="Book Antiqua"/>
                <w:i/>
                <w:iCs/>
                <w:sz w:val="22"/>
                <w:szCs w:val="22"/>
                <w:lang w:val="id-ID"/>
              </w:rPr>
              <w:t>Interpersonal Relationships</w:t>
            </w:r>
            <w:r w:rsidRPr="00E31F4A">
              <w:rPr>
                <w:rFonts w:ascii="Book Antiqua" w:hAnsi="Book Antiqua"/>
                <w:sz w:val="22"/>
                <w:szCs w:val="22"/>
                <w:lang w:val="id-ID"/>
              </w:rPr>
              <w:t>)</w:t>
            </w:r>
          </w:p>
        </w:tc>
        <w:tc>
          <w:tcPr>
            <w:tcW w:w="987" w:type="dxa"/>
            <w:vAlign w:val="center"/>
          </w:tcPr>
          <w:p w14:paraId="6BD98B7D" w14:textId="03B59574"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73,83%</w:t>
            </w:r>
          </w:p>
        </w:tc>
        <w:tc>
          <w:tcPr>
            <w:tcW w:w="756" w:type="dxa"/>
            <w:vAlign w:val="center"/>
          </w:tcPr>
          <w:p w14:paraId="4D18AE24" w14:textId="22F2A9F4"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11,07</w:t>
            </w:r>
          </w:p>
        </w:tc>
        <w:tc>
          <w:tcPr>
            <w:tcW w:w="654" w:type="dxa"/>
            <w:vAlign w:val="center"/>
          </w:tcPr>
          <w:p w14:paraId="13C91C92" w14:textId="1AAB1012"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2,41</w:t>
            </w:r>
          </w:p>
        </w:tc>
      </w:tr>
      <w:tr w:rsidR="00152D1F" w:rsidRPr="00E31F4A" w14:paraId="0F80EF47" w14:textId="77777777" w:rsidTr="00152D1F">
        <w:tc>
          <w:tcPr>
            <w:tcW w:w="1706" w:type="dxa"/>
            <w:vMerge/>
            <w:vAlign w:val="center"/>
          </w:tcPr>
          <w:p w14:paraId="7EF65CBA" w14:textId="77777777" w:rsidR="00152D1F" w:rsidRPr="00E31F4A" w:rsidRDefault="00152D1F" w:rsidP="004472FB">
            <w:pPr>
              <w:jc w:val="center"/>
              <w:rPr>
                <w:rFonts w:ascii="Book Antiqua" w:hAnsi="Book Antiqua"/>
                <w:sz w:val="22"/>
                <w:szCs w:val="22"/>
                <w:lang w:val="id-ID"/>
              </w:rPr>
            </w:pPr>
          </w:p>
        </w:tc>
        <w:tc>
          <w:tcPr>
            <w:tcW w:w="958" w:type="dxa"/>
            <w:vMerge/>
            <w:vAlign w:val="center"/>
          </w:tcPr>
          <w:p w14:paraId="4C503B23" w14:textId="77777777" w:rsidR="00152D1F" w:rsidRPr="00E31F4A" w:rsidRDefault="00152D1F" w:rsidP="004472FB">
            <w:pPr>
              <w:jc w:val="center"/>
              <w:rPr>
                <w:rFonts w:ascii="Book Antiqua" w:hAnsi="Book Antiqua"/>
                <w:sz w:val="22"/>
                <w:szCs w:val="22"/>
                <w:lang w:val="id-ID"/>
              </w:rPr>
            </w:pPr>
          </w:p>
        </w:tc>
        <w:tc>
          <w:tcPr>
            <w:tcW w:w="756" w:type="dxa"/>
            <w:vMerge/>
            <w:vAlign w:val="center"/>
          </w:tcPr>
          <w:p w14:paraId="3CF99963" w14:textId="77777777" w:rsidR="00152D1F" w:rsidRPr="00E31F4A" w:rsidRDefault="00152D1F" w:rsidP="004472FB">
            <w:pPr>
              <w:jc w:val="center"/>
              <w:rPr>
                <w:rFonts w:ascii="Book Antiqua" w:hAnsi="Book Antiqua"/>
                <w:sz w:val="22"/>
                <w:szCs w:val="22"/>
                <w:lang w:val="id-ID"/>
              </w:rPr>
            </w:pPr>
          </w:p>
        </w:tc>
        <w:tc>
          <w:tcPr>
            <w:tcW w:w="686" w:type="dxa"/>
            <w:vMerge/>
            <w:vAlign w:val="center"/>
          </w:tcPr>
          <w:p w14:paraId="4E7E457A" w14:textId="77777777" w:rsidR="00152D1F" w:rsidRPr="00E31F4A" w:rsidRDefault="00152D1F" w:rsidP="004472FB">
            <w:pPr>
              <w:jc w:val="center"/>
              <w:rPr>
                <w:rFonts w:ascii="Book Antiqua" w:hAnsi="Book Antiqua"/>
                <w:sz w:val="22"/>
                <w:szCs w:val="22"/>
                <w:lang w:val="id-ID"/>
              </w:rPr>
            </w:pPr>
          </w:p>
        </w:tc>
        <w:tc>
          <w:tcPr>
            <w:tcW w:w="2274" w:type="dxa"/>
            <w:vAlign w:val="center"/>
          </w:tcPr>
          <w:p w14:paraId="5D3C4358" w14:textId="6C2E31ED"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Aktualisasi Diri (</w:t>
            </w:r>
            <w:r w:rsidRPr="00E31F4A">
              <w:rPr>
                <w:rFonts w:ascii="Book Antiqua" w:hAnsi="Book Antiqua"/>
                <w:i/>
                <w:iCs/>
                <w:sz w:val="22"/>
                <w:szCs w:val="22"/>
                <w:lang w:val="id-ID"/>
              </w:rPr>
              <w:t>Self-Development</w:t>
            </w:r>
            <w:r w:rsidRPr="00E31F4A">
              <w:rPr>
                <w:rFonts w:ascii="Book Antiqua" w:hAnsi="Book Antiqua"/>
                <w:sz w:val="22"/>
                <w:szCs w:val="22"/>
                <w:lang w:val="id-ID"/>
              </w:rPr>
              <w:t>)</w:t>
            </w:r>
          </w:p>
        </w:tc>
        <w:tc>
          <w:tcPr>
            <w:tcW w:w="987" w:type="dxa"/>
            <w:vAlign w:val="center"/>
          </w:tcPr>
          <w:p w14:paraId="6BF061A1" w14:textId="736389F6"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65,53%</w:t>
            </w:r>
          </w:p>
        </w:tc>
        <w:tc>
          <w:tcPr>
            <w:tcW w:w="756" w:type="dxa"/>
            <w:vAlign w:val="center"/>
          </w:tcPr>
          <w:p w14:paraId="3AACD818" w14:textId="19AE1F71"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3,28</w:t>
            </w:r>
          </w:p>
        </w:tc>
        <w:tc>
          <w:tcPr>
            <w:tcW w:w="654" w:type="dxa"/>
            <w:vAlign w:val="center"/>
          </w:tcPr>
          <w:p w14:paraId="7FDE5572" w14:textId="666D336D" w:rsidR="00152D1F" w:rsidRPr="00E31F4A" w:rsidRDefault="00152D1F" w:rsidP="004472FB">
            <w:pPr>
              <w:jc w:val="center"/>
              <w:rPr>
                <w:rFonts w:ascii="Book Antiqua" w:hAnsi="Book Antiqua"/>
                <w:sz w:val="22"/>
                <w:szCs w:val="22"/>
                <w:lang w:val="id-ID"/>
              </w:rPr>
            </w:pPr>
            <w:r w:rsidRPr="00E31F4A">
              <w:rPr>
                <w:rFonts w:ascii="Book Antiqua" w:hAnsi="Book Antiqua"/>
                <w:sz w:val="22"/>
                <w:szCs w:val="22"/>
                <w:lang w:val="id-ID"/>
              </w:rPr>
              <w:t>0,94</w:t>
            </w:r>
          </w:p>
        </w:tc>
      </w:tr>
    </w:tbl>
    <w:p w14:paraId="40C4B172" w14:textId="77777777" w:rsidR="00D2621B" w:rsidRPr="00E31F4A" w:rsidRDefault="00D2621B" w:rsidP="004472FB">
      <w:pPr>
        <w:jc w:val="both"/>
        <w:rPr>
          <w:rFonts w:ascii="Book Antiqua" w:hAnsi="Book Antiqua"/>
          <w:sz w:val="14"/>
          <w:szCs w:val="14"/>
          <w:lang w:val="id-ID"/>
        </w:rPr>
      </w:pPr>
    </w:p>
    <w:p w14:paraId="65EDBD21" w14:textId="1F12F1D5" w:rsidR="007F38C0" w:rsidRPr="004472FB" w:rsidRDefault="00152D1F"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Berdasarkan analisis pada setiap aspek kesejahteraan mental, diketahui bahwa persentase pada aspek </w:t>
      </w:r>
      <w:r w:rsidR="00B403DA" w:rsidRPr="004472FB">
        <w:rPr>
          <w:rFonts w:ascii="Book Antiqua" w:hAnsi="Book Antiqua"/>
          <w:sz w:val="24"/>
          <w:szCs w:val="24"/>
          <w:lang w:val="id-ID"/>
        </w:rPr>
        <w:t>kesejahteraan emosional (</w:t>
      </w:r>
      <w:r w:rsidRPr="004472FB">
        <w:rPr>
          <w:rFonts w:ascii="Book Antiqua" w:hAnsi="Book Antiqua"/>
          <w:i/>
          <w:iCs/>
          <w:sz w:val="24"/>
          <w:szCs w:val="24"/>
          <w:lang w:val="id-ID"/>
        </w:rPr>
        <w:t>hedonic</w:t>
      </w:r>
      <w:r w:rsidR="00B403DA" w:rsidRPr="004472FB">
        <w:rPr>
          <w:rFonts w:ascii="Book Antiqua" w:hAnsi="Book Antiqua"/>
          <w:sz w:val="24"/>
          <w:szCs w:val="24"/>
          <w:lang w:val="id-ID"/>
        </w:rPr>
        <w:t>)</w:t>
      </w:r>
      <w:r w:rsidRPr="004472FB">
        <w:rPr>
          <w:rFonts w:ascii="Book Antiqua" w:hAnsi="Book Antiqua"/>
          <w:i/>
          <w:iCs/>
          <w:sz w:val="24"/>
          <w:szCs w:val="24"/>
          <w:lang w:val="id-ID"/>
        </w:rPr>
        <w:t xml:space="preserve"> </w:t>
      </w:r>
      <w:r w:rsidRPr="004472FB">
        <w:rPr>
          <w:rFonts w:ascii="Book Antiqua" w:hAnsi="Book Antiqua"/>
          <w:sz w:val="24"/>
          <w:szCs w:val="24"/>
          <w:lang w:val="id-ID"/>
        </w:rPr>
        <w:t>sebesar 68,72%. Hasil tersebut menunjukkan bahwa mahasiswa yang mengalami kecemasan memiliki kemampuan yang cukup baik dalam merasakan emosi positif. Indikator perasaan positif juga memperoleh persentase sebesar 68,72%, yang menunjukkan bahwa sebagian besar mahasiswa masih mampu mempertahankan suasana hati yang positif dalam menjalani aktivitas sehari-hari.</w:t>
      </w:r>
    </w:p>
    <w:p w14:paraId="4E0C2271" w14:textId="032AFB51" w:rsidR="00152D1F" w:rsidRPr="004472FB" w:rsidRDefault="00152D1F"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Pada aspek </w:t>
      </w:r>
      <w:r w:rsidR="00B403DA" w:rsidRPr="004472FB">
        <w:rPr>
          <w:rFonts w:ascii="Book Antiqua" w:hAnsi="Book Antiqua"/>
          <w:sz w:val="24"/>
          <w:szCs w:val="24"/>
          <w:lang w:val="id-ID"/>
        </w:rPr>
        <w:t>kesejahteraan psikologis (</w:t>
      </w:r>
      <w:r w:rsidRPr="004472FB">
        <w:rPr>
          <w:rFonts w:ascii="Book Antiqua" w:hAnsi="Book Antiqua"/>
          <w:i/>
          <w:iCs/>
          <w:sz w:val="24"/>
          <w:szCs w:val="24"/>
          <w:lang w:val="id-ID"/>
        </w:rPr>
        <w:t>eudaimonic</w:t>
      </w:r>
      <w:r w:rsidR="00B403DA" w:rsidRPr="004472FB">
        <w:rPr>
          <w:rFonts w:ascii="Book Antiqua" w:hAnsi="Book Antiqua"/>
          <w:sz w:val="24"/>
          <w:szCs w:val="24"/>
          <w:lang w:val="id-ID"/>
        </w:rPr>
        <w:t>)</w:t>
      </w:r>
      <w:r w:rsidRPr="004472FB">
        <w:rPr>
          <w:rFonts w:ascii="Book Antiqua" w:hAnsi="Book Antiqua"/>
          <w:sz w:val="24"/>
          <w:szCs w:val="24"/>
          <w:lang w:val="id-ID"/>
        </w:rPr>
        <w:t xml:space="preserve">, diperoleh persentase sebesar 68,94%, yang menunjukkan bahwa mahasiswa memiliki kesejahteraan </w:t>
      </w:r>
      <w:r w:rsidRPr="004472FB">
        <w:rPr>
          <w:rFonts w:ascii="Book Antiqua" w:hAnsi="Book Antiqua"/>
          <w:sz w:val="24"/>
          <w:szCs w:val="24"/>
          <w:lang w:val="id-ID"/>
        </w:rPr>
        <w:lastRenderedPageBreak/>
        <w:t>psikologis yang cukup baik.</w:t>
      </w:r>
      <w:r w:rsidR="002C6A2B" w:rsidRPr="004472FB">
        <w:rPr>
          <w:rFonts w:ascii="Book Antiqua" w:hAnsi="Book Antiqua"/>
          <w:sz w:val="24"/>
          <w:szCs w:val="24"/>
          <w:lang w:val="id-ID"/>
        </w:rPr>
        <w:t xml:space="preserve"> I</w:t>
      </w:r>
      <w:r w:rsidRPr="004472FB">
        <w:rPr>
          <w:rFonts w:ascii="Book Antiqua" w:hAnsi="Book Antiqua"/>
          <w:sz w:val="24"/>
          <w:szCs w:val="24"/>
          <w:lang w:val="id-ID"/>
        </w:rPr>
        <w:t xml:space="preserve">ndikator </w:t>
      </w:r>
      <w:r w:rsidR="002C6A2B" w:rsidRPr="004472FB">
        <w:rPr>
          <w:rFonts w:ascii="Book Antiqua" w:hAnsi="Book Antiqua"/>
          <w:sz w:val="24"/>
          <w:szCs w:val="24"/>
          <w:lang w:val="id-ID"/>
        </w:rPr>
        <w:t>fungsi psikologis memperoleh persentase sebesar 65,89%, yang menunjukkan bahwa mahasiswa cukup mampu mengelola di</w:t>
      </w:r>
      <w:r w:rsidR="00397AD5" w:rsidRPr="004472FB">
        <w:rPr>
          <w:rFonts w:ascii="Book Antiqua" w:hAnsi="Book Antiqua"/>
          <w:sz w:val="24"/>
          <w:szCs w:val="24"/>
          <w:lang w:val="id-ID"/>
        </w:rPr>
        <w:t>ri</w:t>
      </w:r>
      <w:r w:rsidR="002C6A2B" w:rsidRPr="004472FB">
        <w:rPr>
          <w:rFonts w:ascii="Book Antiqua" w:hAnsi="Book Antiqua"/>
          <w:sz w:val="24"/>
          <w:szCs w:val="24"/>
          <w:lang w:val="id-ID"/>
        </w:rPr>
        <w:t xml:space="preserve"> dan menghadapi berbagai tuntutan kehidupan. Indikator penerimaan diri memperoleh persentase tertinggi, yaitu sebesar 75,96%, yang menunjukkan bahwa sebagian besar mahasiswa mampu menerima diri secara positif. Selanjutnya, indikator hubungan interpersonal memperoleh persentase sebesar 73,83%, yang menunjukkan kemampuan yang cukup baik dalam menjalin hubungan sosial dengan orang lain. Sementara itu, indikator aktualisasi diri memperoleh persentase terendah, yaitu sebesar 65,53%. Hasil ini menunjukkan bahwa kemampuan mahasiswa dalam mengembangkan potensi diri dan mencapai pengembangan diri yang optimal masih perlu ditingkatkan.</w:t>
      </w:r>
    </w:p>
    <w:p w14:paraId="2B4FA618" w14:textId="7D412813" w:rsidR="00BD5C13" w:rsidRPr="004472FB" w:rsidRDefault="00BD5C13" w:rsidP="004472FB">
      <w:pPr>
        <w:ind w:firstLine="720"/>
        <w:jc w:val="both"/>
        <w:rPr>
          <w:rFonts w:ascii="Book Antiqua" w:hAnsi="Book Antiqua"/>
          <w:sz w:val="24"/>
          <w:szCs w:val="24"/>
          <w:lang w:val="id-ID"/>
        </w:rPr>
      </w:pPr>
      <w:r w:rsidRPr="004472FB">
        <w:rPr>
          <w:rFonts w:ascii="Book Antiqua" w:hAnsi="Book Antiqua"/>
          <w:sz w:val="24"/>
          <w:szCs w:val="24"/>
          <w:lang w:val="id-ID"/>
        </w:rPr>
        <w:t>Meskipun secara umum</w:t>
      </w:r>
      <w:r w:rsidR="00C52FE7" w:rsidRPr="004472FB">
        <w:rPr>
          <w:rFonts w:ascii="Book Antiqua" w:hAnsi="Book Antiqua"/>
          <w:sz w:val="24"/>
          <w:szCs w:val="24"/>
          <w:lang w:val="id-ID"/>
        </w:rPr>
        <w:t xml:space="preserve"> aspek kesejahteraan psikologis (</w:t>
      </w:r>
      <w:r w:rsidR="00C52FE7" w:rsidRPr="004472FB">
        <w:rPr>
          <w:rFonts w:ascii="Book Antiqua" w:hAnsi="Book Antiqua"/>
          <w:i/>
          <w:iCs/>
          <w:sz w:val="24"/>
          <w:szCs w:val="24"/>
          <w:lang w:val="id-ID"/>
        </w:rPr>
        <w:t>eudaimonic</w:t>
      </w:r>
      <w:r w:rsidR="00C52FE7" w:rsidRPr="004472FB">
        <w:rPr>
          <w:rFonts w:ascii="Book Antiqua" w:hAnsi="Book Antiqua"/>
          <w:sz w:val="24"/>
          <w:szCs w:val="24"/>
          <w:lang w:val="id-ID"/>
        </w:rPr>
        <w:t xml:space="preserve">) berada pada kategori cukup baik, hasil penelitian </w:t>
      </w:r>
      <w:r w:rsidRPr="004472FB">
        <w:rPr>
          <w:rFonts w:ascii="Book Antiqua" w:hAnsi="Book Antiqua"/>
          <w:sz w:val="24"/>
          <w:szCs w:val="24"/>
          <w:lang w:val="id-ID"/>
        </w:rPr>
        <w:t xml:space="preserve">menunjukkan bahwa fungsi psikologis dan aktualisasi diri </w:t>
      </w:r>
      <w:r w:rsidR="00C52FE7" w:rsidRPr="004472FB">
        <w:rPr>
          <w:rFonts w:ascii="Book Antiqua" w:hAnsi="Book Antiqua"/>
          <w:sz w:val="24"/>
          <w:szCs w:val="24"/>
          <w:lang w:val="id-ID"/>
        </w:rPr>
        <w:t>merupakan</w:t>
      </w:r>
      <w:r w:rsidRPr="004472FB">
        <w:rPr>
          <w:rFonts w:ascii="Book Antiqua" w:hAnsi="Book Antiqua"/>
          <w:sz w:val="24"/>
          <w:szCs w:val="24"/>
          <w:lang w:val="id-ID"/>
        </w:rPr>
        <w:t xml:space="preserve"> indikator dengan persentase terendah dibandingkan indikator lainnya. </w:t>
      </w:r>
      <w:r w:rsidR="00C52FE7" w:rsidRPr="004472FB">
        <w:rPr>
          <w:rFonts w:ascii="Book Antiqua" w:hAnsi="Book Antiqua"/>
          <w:sz w:val="24"/>
          <w:szCs w:val="24"/>
          <w:lang w:val="id-ID"/>
        </w:rPr>
        <w:t>Temuan ini</w:t>
      </w:r>
      <w:r w:rsidRPr="004472FB">
        <w:rPr>
          <w:rFonts w:ascii="Book Antiqua" w:hAnsi="Book Antiqua"/>
          <w:sz w:val="24"/>
          <w:szCs w:val="24"/>
          <w:lang w:val="id-ID"/>
        </w:rPr>
        <w:t xml:space="preserve"> mengindikasikan bahwa mahasiswa yang mengalami kecemasan masih mengalami kesulitan dalam menjalankan fungsi psikologis secara optimal, seperti mengelola diri, menghadapi </w:t>
      </w:r>
      <w:r w:rsidR="00C52FE7" w:rsidRPr="004472FB">
        <w:rPr>
          <w:rFonts w:ascii="Book Antiqua" w:hAnsi="Book Antiqua"/>
          <w:sz w:val="24"/>
          <w:szCs w:val="24"/>
          <w:lang w:val="id-ID"/>
        </w:rPr>
        <w:t>berbagai tuntutan</w:t>
      </w:r>
      <w:r w:rsidRPr="004472FB">
        <w:rPr>
          <w:rFonts w:ascii="Book Antiqua" w:hAnsi="Book Antiqua"/>
          <w:sz w:val="24"/>
          <w:szCs w:val="24"/>
          <w:lang w:val="id-ID"/>
        </w:rPr>
        <w:t xml:space="preserve">, dan mempertahankan </w:t>
      </w:r>
      <w:r w:rsidR="00C52FE7" w:rsidRPr="004472FB">
        <w:rPr>
          <w:rFonts w:ascii="Book Antiqua" w:hAnsi="Book Antiqua"/>
          <w:sz w:val="24"/>
          <w:szCs w:val="24"/>
          <w:lang w:val="id-ID"/>
        </w:rPr>
        <w:t>keseimbangan psikologis dalam kehidupan sehari-hari</w:t>
      </w:r>
      <w:r w:rsidRPr="004472FB">
        <w:rPr>
          <w:rFonts w:ascii="Book Antiqua" w:hAnsi="Book Antiqua"/>
          <w:sz w:val="24"/>
          <w:szCs w:val="24"/>
          <w:lang w:val="id-ID"/>
        </w:rPr>
        <w:t xml:space="preserve">. Selain itu, rendahnya </w:t>
      </w:r>
      <w:r w:rsidR="00C52FE7" w:rsidRPr="004472FB">
        <w:rPr>
          <w:rFonts w:ascii="Book Antiqua" w:hAnsi="Book Antiqua"/>
          <w:sz w:val="24"/>
          <w:szCs w:val="24"/>
          <w:lang w:val="id-ID"/>
        </w:rPr>
        <w:t xml:space="preserve">indikator </w:t>
      </w:r>
      <w:r w:rsidRPr="004472FB">
        <w:rPr>
          <w:rFonts w:ascii="Book Antiqua" w:hAnsi="Book Antiqua"/>
          <w:sz w:val="24"/>
          <w:szCs w:val="24"/>
          <w:lang w:val="id-ID"/>
        </w:rPr>
        <w:t xml:space="preserve">aktualisasi diri menunjukkan bahwa mahasiswa </w:t>
      </w:r>
      <w:r w:rsidR="00C52FE7" w:rsidRPr="004472FB">
        <w:rPr>
          <w:rFonts w:ascii="Book Antiqua" w:hAnsi="Book Antiqua"/>
          <w:sz w:val="24"/>
          <w:szCs w:val="24"/>
          <w:lang w:val="id-ID"/>
        </w:rPr>
        <w:t>masih memerlukan pengembangan dalam mengoptimalkan potensi diri</w:t>
      </w:r>
      <w:r w:rsidRPr="004472FB">
        <w:rPr>
          <w:rFonts w:ascii="Book Antiqua" w:hAnsi="Book Antiqua"/>
          <w:sz w:val="24"/>
          <w:szCs w:val="24"/>
          <w:lang w:val="id-ID"/>
        </w:rPr>
        <w:t>, menetapkan tujuan hidup, dan mengoptimalkan proses pertumbuhan dirinya.</w:t>
      </w:r>
      <w:r w:rsidR="00C52FE7" w:rsidRPr="004472FB">
        <w:rPr>
          <w:rFonts w:ascii="Book Antiqua" w:hAnsi="Book Antiqua"/>
          <w:sz w:val="24"/>
          <w:szCs w:val="24"/>
          <w:lang w:val="id-ID"/>
        </w:rPr>
        <w:t xml:space="preserve"> Dengan demikian, kedua indikator tersebut menjadi bagian yang perlu mendapatkan perhatian agar kesejahteraan mental mahasiswa dapat berkembang secara lebih optimal.</w:t>
      </w:r>
    </w:p>
    <w:p w14:paraId="7016D102" w14:textId="5D42BBC8" w:rsidR="002C6A2B" w:rsidRDefault="002C6A2B"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Secara keseluruhan, hasil penelitian menunjukkan bahwa kesejahteraan mental mahasiswa yang mengalami kecemasan, </w:t>
      </w:r>
      <w:r w:rsidR="00C52FE7" w:rsidRPr="004472FB">
        <w:rPr>
          <w:rFonts w:ascii="Book Antiqua" w:hAnsi="Book Antiqua"/>
          <w:sz w:val="24"/>
          <w:szCs w:val="24"/>
          <w:lang w:val="id-ID"/>
        </w:rPr>
        <w:t>baik pada</w:t>
      </w:r>
      <w:r w:rsidRPr="004472FB">
        <w:rPr>
          <w:rFonts w:ascii="Book Antiqua" w:hAnsi="Book Antiqua"/>
          <w:sz w:val="24"/>
          <w:szCs w:val="24"/>
          <w:lang w:val="id-ID"/>
        </w:rPr>
        <w:t xml:space="preserve"> aspek kesejahteraan emosional</w:t>
      </w:r>
      <w:r w:rsidR="001C13AB" w:rsidRPr="004472FB">
        <w:rPr>
          <w:rFonts w:ascii="Book Antiqua" w:hAnsi="Book Antiqua"/>
          <w:sz w:val="24"/>
          <w:szCs w:val="24"/>
          <w:lang w:val="id-ID"/>
        </w:rPr>
        <w:t xml:space="preserve"> (</w:t>
      </w:r>
      <w:r w:rsidR="001C13AB" w:rsidRPr="004472FB">
        <w:rPr>
          <w:rFonts w:ascii="Book Antiqua" w:hAnsi="Book Antiqua"/>
          <w:i/>
          <w:iCs/>
          <w:sz w:val="24"/>
          <w:szCs w:val="24"/>
          <w:lang w:val="id-ID"/>
        </w:rPr>
        <w:t>hedonic</w:t>
      </w:r>
      <w:r w:rsidR="001C13AB" w:rsidRPr="004472FB">
        <w:rPr>
          <w:rFonts w:ascii="Book Antiqua" w:hAnsi="Book Antiqua"/>
          <w:sz w:val="24"/>
          <w:szCs w:val="24"/>
          <w:lang w:val="id-ID"/>
        </w:rPr>
        <w:t>)</w:t>
      </w:r>
      <w:r w:rsidRPr="004472FB">
        <w:rPr>
          <w:rFonts w:ascii="Book Antiqua" w:hAnsi="Book Antiqua"/>
          <w:sz w:val="24"/>
          <w:szCs w:val="24"/>
          <w:lang w:val="id-ID"/>
        </w:rPr>
        <w:t xml:space="preserve"> </w:t>
      </w:r>
      <w:r w:rsidR="00C52FE7" w:rsidRPr="004472FB">
        <w:rPr>
          <w:rFonts w:ascii="Book Antiqua" w:hAnsi="Book Antiqua"/>
          <w:sz w:val="24"/>
          <w:szCs w:val="24"/>
          <w:lang w:val="id-ID"/>
        </w:rPr>
        <w:t>maupun</w:t>
      </w:r>
      <w:r w:rsidRPr="004472FB">
        <w:rPr>
          <w:rFonts w:ascii="Book Antiqua" w:hAnsi="Book Antiqua"/>
          <w:sz w:val="24"/>
          <w:szCs w:val="24"/>
          <w:lang w:val="id-ID"/>
        </w:rPr>
        <w:t xml:space="preserve"> psikologis </w:t>
      </w:r>
      <w:r w:rsidR="001C13AB" w:rsidRPr="004472FB">
        <w:rPr>
          <w:rFonts w:ascii="Book Antiqua" w:hAnsi="Book Antiqua"/>
          <w:sz w:val="24"/>
          <w:szCs w:val="24"/>
          <w:lang w:val="id-ID"/>
        </w:rPr>
        <w:t>(</w:t>
      </w:r>
      <w:r w:rsidR="001C13AB" w:rsidRPr="004472FB">
        <w:rPr>
          <w:rFonts w:ascii="Book Antiqua" w:hAnsi="Book Antiqua"/>
          <w:i/>
          <w:iCs/>
          <w:sz w:val="24"/>
          <w:szCs w:val="24"/>
          <w:lang w:val="id-ID"/>
        </w:rPr>
        <w:t>eudaimonic</w:t>
      </w:r>
      <w:r w:rsidR="001C13AB" w:rsidRPr="004472FB">
        <w:rPr>
          <w:rFonts w:ascii="Book Antiqua" w:hAnsi="Book Antiqua"/>
          <w:sz w:val="24"/>
          <w:szCs w:val="24"/>
          <w:lang w:val="id-ID"/>
        </w:rPr>
        <w:t>)</w:t>
      </w:r>
      <w:r w:rsidR="00C52FE7" w:rsidRPr="004472FB">
        <w:rPr>
          <w:rFonts w:ascii="Book Antiqua" w:hAnsi="Book Antiqua"/>
          <w:sz w:val="24"/>
          <w:szCs w:val="24"/>
          <w:lang w:val="id-ID"/>
        </w:rPr>
        <w:t>,</w:t>
      </w:r>
      <w:r w:rsidR="001C13AB" w:rsidRPr="004472FB">
        <w:rPr>
          <w:rFonts w:ascii="Book Antiqua" w:hAnsi="Book Antiqua"/>
          <w:sz w:val="24"/>
          <w:szCs w:val="24"/>
          <w:lang w:val="id-ID"/>
        </w:rPr>
        <w:t xml:space="preserve"> </w:t>
      </w:r>
      <w:r w:rsidRPr="004472FB">
        <w:rPr>
          <w:rFonts w:ascii="Book Antiqua" w:hAnsi="Book Antiqua"/>
          <w:sz w:val="24"/>
          <w:szCs w:val="24"/>
          <w:lang w:val="id-ID"/>
        </w:rPr>
        <w:t>berada pada kategori cukup baik</w:t>
      </w:r>
      <w:r w:rsidR="00C52FE7" w:rsidRPr="004472FB">
        <w:rPr>
          <w:rFonts w:ascii="Book Antiqua" w:hAnsi="Book Antiqua"/>
          <w:sz w:val="24"/>
          <w:szCs w:val="24"/>
          <w:lang w:val="id-ID"/>
        </w:rPr>
        <w:t xml:space="preserve">. Meskipun demikian, fungsi psikologis dan aktualisasi diri merupakan indikator dengan persentase terendah sehingga masih memerlukan perhatian dalam upaya pengembangan kesejahteraan mental mahasiswa. Sebaliknya, </w:t>
      </w:r>
      <w:r w:rsidRPr="004472FB">
        <w:rPr>
          <w:rFonts w:ascii="Book Antiqua" w:hAnsi="Book Antiqua"/>
          <w:sz w:val="24"/>
          <w:szCs w:val="24"/>
          <w:lang w:val="id-ID"/>
        </w:rPr>
        <w:t>indikator penerimaan diri dan hubungan interpersonal</w:t>
      </w:r>
      <w:r w:rsidR="00C52FE7" w:rsidRPr="004472FB">
        <w:rPr>
          <w:rFonts w:ascii="Book Antiqua" w:hAnsi="Book Antiqua"/>
          <w:sz w:val="24"/>
          <w:szCs w:val="24"/>
          <w:lang w:val="id-ID"/>
        </w:rPr>
        <w:t xml:space="preserve"> menunjukkan persentase yang lebih tinggi, yang menunjukkan bahwa sebagian besar mahasiswa telah mampu menerima diri secara positif dan membangun hubungan yang baik dengan orang lain</w:t>
      </w:r>
      <w:r w:rsidRPr="004472FB">
        <w:rPr>
          <w:rFonts w:ascii="Book Antiqua" w:hAnsi="Book Antiqua"/>
          <w:sz w:val="24"/>
          <w:szCs w:val="24"/>
          <w:lang w:val="id-ID"/>
        </w:rPr>
        <w:t xml:space="preserve">. Temuan ini didukung oleh model kesejahteraan psikologis Ryff </w:t>
      </w:r>
      <w:r w:rsidR="007E278B"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{"citationItems":[{"id":"ITEM-1","itemData":{"DOI":"10.1037/0022-3514.57.6.1069","ISSN":"0022-3514","abstract":"Reigning measures of psychological well-being have little theoretical grounding, despite an extensive literature on the contours of positive functioning. Aspects of well-being derived from this literature (i.e., self-acceptance, positive relations with others, autonomy, environmental mastery, purpose in life, and personal growth) were operationalized. Three hundred and twenty-one men and women, divided among young, middle-aged, and older adults, rated themselves on these measures along with six instruments prominent in earlier studies (i.e., affect balance, life satisfaction, self-esteem, morale, locus of control, depression). Results revealed that positive relations with others, autonomy, purpose in life, and personal growth were not strongly tied to prior assessment indexes, thereby supporting the claim that key aspects of positive functioning have not been represented in the empirical arena. Furthermore, age profiles revealed a more differentiated pattern of well-being than is evident in prior research. (PsycINFO Database Record (c) 2007 APA, all rights reserved)","author":[{"dropping-particle":"","family":"Ryff","given":"Carol D.","non-dropping-particle":"","parse-names":false,"suffix":""}],"container-title":"Journal of Personality and Social Psychology","id":"ITEM-1","issue":"6","issued":{"date-parts":[["1989"]]},"page":"1069-1081","title":"Happiness is everything, or is it? Explorations on the meaning of psychological well-being.","type":"article-journal","volume":"57"},"uris":["http://www.mendeley.com/documents/?uuid=c1b70d37-4415-412d-9475-51910751fc83"]}],"mendeley":{"formattedCitation":"[35]","plainTextFormattedCitation":"[35]","previouslyFormattedCitation":"[34]"},"properties":{"noteIndex":0},"schema":"https://github.com/citation-style-language/schema/raw/master/csl-citation.json"}</w:instrText>
      </w:r>
      <w:r w:rsidR="007E278B"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[35]</w:t>
      </w:r>
      <w:r w:rsidR="007E278B" w:rsidRPr="004472FB">
        <w:rPr>
          <w:rFonts w:ascii="Book Antiqua" w:hAnsi="Book Antiqua"/>
          <w:sz w:val="24"/>
          <w:szCs w:val="24"/>
          <w:lang w:val="id-ID"/>
        </w:rPr>
        <w:fldChar w:fldCharType="end"/>
      </w:r>
      <w:r w:rsidRPr="004472FB">
        <w:rPr>
          <w:rFonts w:ascii="Book Antiqua" w:hAnsi="Book Antiqua"/>
          <w:sz w:val="24"/>
          <w:szCs w:val="24"/>
          <w:lang w:val="id-ID"/>
        </w:rPr>
        <w:t xml:space="preserve"> yang menyatakan bahwa penerimaan diri dan hubungan positif dengan orang lain merupakan aspek penting dalam pembentukan kesejahteraan psikologis individu. Mahasiswa yang mampu menerima dirinya dan memiliki hubungan sosial yang baik cenderung lebih mampu mempertahankan kesejahteraan psikologis ketika menghadapi berbagai tuntutan akademik maupun sosial.</w:t>
      </w:r>
    </w:p>
    <w:p w14:paraId="57532BE9" w14:textId="77777777" w:rsidR="00E31F4A" w:rsidRDefault="00E31F4A" w:rsidP="004472FB">
      <w:pPr>
        <w:ind w:firstLine="720"/>
        <w:jc w:val="both"/>
        <w:rPr>
          <w:rFonts w:ascii="Book Antiqua" w:hAnsi="Book Antiqua"/>
          <w:sz w:val="24"/>
          <w:szCs w:val="24"/>
          <w:lang w:val="id-ID"/>
        </w:rPr>
      </w:pPr>
    </w:p>
    <w:p w14:paraId="228E5054" w14:textId="77777777" w:rsidR="00E31F4A" w:rsidRDefault="00E31F4A" w:rsidP="004472FB">
      <w:pPr>
        <w:ind w:firstLine="720"/>
        <w:jc w:val="both"/>
        <w:rPr>
          <w:rFonts w:ascii="Book Antiqua" w:hAnsi="Book Antiqua"/>
          <w:sz w:val="24"/>
          <w:szCs w:val="24"/>
          <w:lang w:val="id-ID"/>
        </w:rPr>
      </w:pPr>
    </w:p>
    <w:p w14:paraId="18A60432" w14:textId="77777777" w:rsidR="00E31F4A" w:rsidRDefault="00E31F4A" w:rsidP="004472FB">
      <w:pPr>
        <w:ind w:firstLine="720"/>
        <w:jc w:val="both"/>
        <w:rPr>
          <w:rFonts w:ascii="Book Antiqua" w:hAnsi="Book Antiqua"/>
          <w:sz w:val="24"/>
          <w:szCs w:val="24"/>
          <w:lang w:val="id-ID"/>
        </w:rPr>
      </w:pPr>
    </w:p>
    <w:p w14:paraId="5A6CDAF6" w14:textId="77777777" w:rsidR="00E31F4A" w:rsidRPr="004472FB" w:rsidRDefault="00E31F4A" w:rsidP="004472FB">
      <w:pPr>
        <w:ind w:firstLine="720"/>
        <w:jc w:val="both"/>
        <w:rPr>
          <w:rFonts w:ascii="Book Antiqua" w:hAnsi="Book Antiqua"/>
          <w:sz w:val="24"/>
          <w:szCs w:val="24"/>
          <w:lang w:val="id-ID"/>
        </w:rPr>
      </w:pPr>
    </w:p>
    <w:p w14:paraId="0532932D" w14:textId="77777777" w:rsidR="00E31F4A" w:rsidRDefault="00E31F4A" w:rsidP="004472FB">
      <w:pPr>
        <w:pStyle w:val="Caption"/>
        <w:spacing w:after="0"/>
        <w:jc w:val="center"/>
        <w:rPr>
          <w:rFonts w:ascii="Book Antiqua" w:hAnsi="Book Antiqua"/>
          <w:b/>
          <w:bCs/>
          <w:i w:val="0"/>
          <w:iCs w:val="0"/>
          <w:color w:val="auto"/>
          <w:sz w:val="22"/>
          <w:szCs w:val="22"/>
          <w:lang w:val="id-ID"/>
        </w:rPr>
      </w:pPr>
    </w:p>
    <w:p w14:paraId="38F62EF0" w14:textId="57738142" w:rsidR="00E31F4A" w:rsidRDefault="002C6A2B" w:rsidP="004472FB">
      <w:pPr>
        <w:pStyle w:val="Caption"/>
        <w:spacing w:after="0"/>
        <w:jc w:val="center"/>
        <w:rPr>
          <w:rFonts w:ascii="Book Antiqua" w:hAnsi="Book Antiqua"/>
          <w:b/>
          <w:bCs/>
          <w:i w:val="0"/>
          <w:iCs w:val="0"/>
          <w:color w:val="auto"/>
          <w:sz w:val="22"/>
          <w:szCs w:val="22"/>
          <w:lang w:val="id-ID"/>
        </w:rPr>
      </w:pPr>
      <w:r w:rsidRPr="00E31F4A">
        <w:rPr>
          <w:rFonts w:ascii="Book Antiqua" w:hAnsi="Book Antiqua"/>
          <w:b/>
          <w:bCs/>
          <w:i w:val="0"/>
          <w:iCs w:val="0"/>
          <w:color w:val="auto"/>
          <w:sz w:val="22"/>
          <w:szCs w:val="22"/>
          <w:lang w:val="id-ID"/>
        </w:rPr>
        <w:lastRenderedPageBreak/>
        <w:t xml:space="preserve">Tabel </w:t>
      </w:r>
      <w:r w:rsidRPr="00E31F4A">
        <w:rPr>
          <w:rFonts w:ascii="Book Antiqua" w:hAnsi="Book Antiqua"/>
          <w:b/>
          <w:bCs/>
          <w:i w:val="0"/>
          <w:iCs w:val="0"/>
          <w:color w:val="auto"/>
          <w:sz w:val="22"/>
          <w:szCs w:val="22"/>
          <w:lang w:val="id-ID"/>
        </w:rPr>
        <w:fldChar w:fldCharType="begin"/>
      </w:r>
      <w:r w:rsidRPr="00E31F4A">
        <w:rPr>
          <w:rFonts w:ascii="Book Antiqua" w:hAnsi="Book Antiqua"/>
          <w:b/>
          <w:bCs/>
          <w:i w:val="0"/>
          <w:iCs w:val="0"/>
          <w:color w:val="auto"/>
          <w:sz w:val="22"/>
          <w:szCs w:val="22"/>
          <w:lang w:val="id-ID"/>
        </w:rPr>
        <w:instrText xml:space="preserve"> SEQ Tabel \* ARABIC </w:instrText>
      </w:r>
      <w:r w:rsidRPr="00E31F4A">
        <w:rPr>
          <w:rFonts w:ascii="Book Antiqua" w:hAnsi="Book Antiqua"/>
          <w:b/>
          <w:bCs/>
          <w:i w:val="0"/>
          <w:iCs w:val="0"/>
          <w:color w:val="auto"/>
          <w:sz w:val="22"/>
          <w:szCs w:val="22"/>
          <w:lang w:val="id-ID"/>
        </w:rPr>
        <w:fldChar w:fldCharType="separate"/>
      </w:r>
      <w:r w:rsidRPr="00E31F4A">
        <w:rPr>
          <w:rFonts w:ascii="Book Antiqua" w:hAnsi="Book Antiqua"/>
          <w:b/>
          <w:bCs/>
          <w:i w:val="0"/>
          <w:iCs w:val="0"/>
          <w:noProof/>
          <w:color w:val="auto"/>
          <w:sz w:val="22"/>
          <w:szCs w:val="22"/>
          <w:lang w:val="id-ID"/>
        </w:rPr>
        <w:t>6</w:t>
      </w:r>
      <w:r w:rsidRPr="00E31F4A">
        <w:rPr>
          <w:rFonts w:ascii="Book Antiqua" w:hAnsi="Book Antiqua"/>
          <w:b/>
          <w:bCs/>
          <w:i w:val="0"/>
          <w:iCs w:val="0"/>
          <w:color w:val="auto"/>
          <w:sz w:val="22"/>
          <w:szCs w:val="22"/>
          <w:lang w:val="id-ID"/>
        </w:rPr>
        <w:fldChar w:fldCharType="end"/>
      </w:r>
      <w:r w:rsidRPr="00E31F4A">
        <w:rPr>
          <w:rFonts w:ascii="Book Antiqua" w:hAnsi="Book Antiqua"/>
          <w:b/>
          <w:bCs/>
          <w:i w:val="0"/>
          <w:iCs w:val="0"/>
          <w:color w:val="auto"/>
          <w:sz w:val="22"/>
          <w:szCs w:val="22"/>
          <w:lang w:val="id-ID"/>
        </w:rPr>
        <w:t>. Profil Kesejahteraan Mental Mahasiswa yang Mengalami</w:t>
      </w:r>
    </w:p>
    <w:p w14:paraId="2A49CCCB" w14:textId="59FC23CC" w:rsidR="002C6A2B" w:rsidRPr="00E31F4A" w:rsidRDefault="002C6A2B" w:rsidP="004472FB">
      <w:pPr>
        <w:pStyle w:val="Caption"/>
        <w:spacing w:after="0"/>
        <w:jc w:val="center"/>
        <w:rPr>
          <w:rFonts w:ascii="Book Antiqua" w:hAnsi="Book Antiqua"/>
          <w:b/>
          <w:bCs/>
          <w:i w:val="0"/>
          <w:iCs w:val="0"/>
          <w:color w:val="auto"/>
          <w:sz w:val="22"/>
          <w:szCs w:val="22"/>
          <w:lang w:val="id-ID"/>
        </w:rPr>
      </w:pPr>
      <w:r w:rsidRPr="00E31F4A">
        <w:rPr>
          <w:rFonts w:ascii="Book Antiqua" w:hAnsi="Book Antiqua"/>
          <w:b/>
          <w:bCs/>
          <w:i w:val="0"/>
          <w:iCs w:val="0"/>
          <w:color w:val="auto"/>
          <w:sz w:val="22"/>
          <w:szCs w:val="22"/>
          <w:lang w:val="id-ID"/>
        </w:rPr>
        <w:t xml:space="preserve"> Kecemasan Berdasarkan Aspek</w:t>
      </w:r>
    </w:p>
    <w:tbl>
      <w:tblPr>
        <w:tblStyle w:val="TableGrid"/>
        <w:tblW w:w="0" w:type="auto"/>
        <w:jc w:val="center"/>
        <w:tblLook w:val="04A0" w:firstRow="1" w:lastRow="0" w:firstColumn="1" w:lastColumn="0" w:noHBand="0" w:noVBand="1"/>
      </w:tblPr>
      <w:tblGrid>
        <w:gridCol w:w="1980"/>
        <w:gridCol w:w="1531"/>
        <w:gridCol w:w="1587"/>
        <w:gridCol w:w="1134"/>
        <w:gridCol w:w="1134"/>
      </w:tblGrid>
      <w:tr w:rsidR="002C6A2B" w:rsidRPr="00E31F4A" w14:paraId="4FE389AE" w14:textId="77777777" w:rsidTr="002C6A2B">
        <w:trPr>
          <w:jc w:val="center"/>
        </w:trPr>
        <w:tc>
          <w:tcPr>
            <w:tcW w:w="1980" w:type="dxa"/>
          </w:tcPr>
          <w:p w14:paraId="34BFEEF8" w14:textId="67E18B3E" w:rsidR="002C6A2B" w:rsidRPr="00E31F4A" w:rsidRDefault="002C6A2B" w:rsidP="004472FB">
            <w:pPr>
              <w:jc w:val="center"/>
              <w:rPr>
                <w:rFonts w:ascii="Book Antiqua" w:hAnsi="Book Antiqua"/>
                <w:b/>
                <w:bCs/>
                <w:sz w:val="22"/>
                <w:szCs w:val="22"/>
                <w:lang w:val="id-ID"/>
              </w:rPr>
            </w:pPr>
            <w:r w:rsidRPr="00E31F4A">
              <w:rPr>
                <w:rFonts w:ascii="Book Antiqua" w:hAnsi="Book Antiqua"/>
                <w:b/>
                <w:bCs/>
                <w:sz w:val="22"/>
                <w:szCs w:val="22"/>
                <w:lang w:val="id-ID"/>
              </w:rPr>
              <w:t>Aspek</w:t>
            </w:r>
          </w:p>
        </w:tc>
        <w:tc>
          <w:tcPr>
            <w:tcW w:w="1531" w:type="dxa"/>
          </w:tcPr>
          <w:p w14:paraId="423F7570" w14:textId="52A7A5C2" w:rsidR="002C6A2B" w:rsidRPr="00E31F4A" w:rsidRDefault="002C6A2B" w:rsidP="004472FB">
            <w:pPr>
              <w:jc w:val="center"/>
              <w:rPr>
                <w:rFonts w:ascii="Book Antiqua" w:hAnsi="Book Antiqua"/>
                <w:b/>
                <w:bCs/>
                <w:sz w:val="22"/>
                <w:szCs w:val="22"/>
                <w:lang w:val="id-ID"/>
              </w:rPr>
            </w:pPr>
            <w:r w:rsidRPr="00E31F4A">
              <w:rPr>
                <w:rFonts w:ascii="Book Antiqua" w:hAnsi="Book Antiqua"/>
                <w:b/>
                <w:bCs/>
                <w:sz w:val="22"/>
                <w:szCs w:val="22"/>
                <w:lang w:val="id-ID"/>
              </w:rPr>
              <w:t>Rentang</w:t>
            </w:r>
          </w:p>
        </w:tc>
        <w:tc>
          <w:tcPr>
            <w:tcW w:w="1587" w:type="dxa"/>
          </w:tcPr>
          <w:p w14:paraId="17891F42" w14:textId="048EF453" w:rsidR="002C6A2B" w:rsidRPr="00E31F4A" w:rsidRDefault="002C6A2B" w:rsidP="004472FB">
            <w:pPr>
              <w:jc w:val="center"/>
              <w:rPr>
                <w:rFonts w:ascii="Book Antiqua" w:hAnsi="Book Antiqua"/>
                <w:b/>
                <w:bCs/>
                <w:sz w:val="22"/>
                <w:szCs w:val="22"/>
                <w:lang w:val="id-ID"/>
              </w:rPr>
            </w:pPr>
            <w:r w:rsidRPr="00E31F4A">
              <w:rPr>
                <w:rFonts w:ascii="Book Antiqua" w:hAnsi="Book Antiqua"/>
                <w:b/>
                <w:bCs/>
                <w:sz w:val="22"/>
                <w:szCs w:val="22"/>
                <w:lang w:val="id-ID"/>
              </w:rPr>
              <w:t>Kategori</w:t>
            </w:r>
          </w:p>
        </w:tc>
        <w:tc>
          <w:tcPr>
            <w:tcW w:w="1134" w:type="dxa"/>
          </w:tcPr>
          <w:p w14:paraId="0280EB17" w14:textId="5DB5F042" w:rsidR="002C6A2B" w:rsidRPr="00E31F4A" w:rsidRDefault="002C6A2B" w:rsidP="004472FB">
            <w:pPr>
              <w:jc w:val="center"/>
              <w:rPr>
                <w:rFonts w:ascii="Book Antiqua" w:hAnsi="Book Antiqua"/>
                <w:b/>
                <w:bCs/>
                <w:sz w:val="22"/>
                <w:szCs w:val="22"/>
                <w:lang w:val="id-ID"/>
              </w:rPr>
            </w:pPr>
            <w:r w:rsidRPr="00E31F4A">
              <w:rPr>
                <w:rFonts w:ascii="Book Antiqua" w:hAnsi="Book Antiqua"/>
                <w:b/>
                <w:bCs/>
                <w:sz w:val="22"/>
                <w:szCs w:val="22"/>
                <w:lang w:val="id-ID"/>
              </w:rPr>
              <w:t>F</w:t>
            </w:r>
          </w:p>
        </w:tc>
        <w:tc>
          <w:tcPr>
            <w:tcW w:w="1134" w:type="dxa"/>
          </w:tcPr>
          <w:p w14:paraId="26C7891B" w14:textId="27CF032C" w:rsidR="002C6A2B" w:rsidRPr="00E31F4A" w:rsidRDefault="002C6A2B" w:rsidP="004472FB">
            <w:pPr>
              <w:jc w:val="center"/>
              <w:rPr>
                <w:rFonts w:ascii="Book Antiqua" w:hAnsi="Book Antiqua"/>
                <w:b/>
                <w:bCs/>
                <w:sz w:val="22"/>
                <w:szCs w:val="22"/>
                <w:lang w:val="id-ID"/>
              </w:rPr>
            </w:pPr>
            <w:r w:rsidRPr="00E31F4A">
              <w:rPr>
                <w:rFonts w:ascii="Book Antiqua" w:hAnsi="Book Antiqua"/>
                <w:b/>
                <w:bCs/>
                <w:sz w:val="22"/>
                <w:szCs w:val="22"/>
                <w:lang w:val="id-ID"/>
              </w:rPr>
              <w:t>%</w:t>
            </w:r>
          </w:p>
        </w:tc>
      </w:tr>
      <w:tr w:rsidR="002C6A2B" w:rsidRPr="00E31F4A" w14:paraId="45F5AEFB" w14:textId="77777777" w:rsidTr="002C6A2B">
        <w:trPr>
          <w:jc w:val="center"/>
        </w:trPr>
        <w:tc>
          <w:tcPr>
            <w:tcW w:w="1980" w:type="dxa"/>
            <w:vMerge w:val="restart"/>
          </w:tcPr>
          <w:p w14:paraId="56F3CC4E" w14:textId="309F1525"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Kesejahteraan Emosional (</w:t>
            </w:r>
            <w:r w:rsidRPr="00E31F4A">
              <w:rPr>
                <w:rFonts w:ascii="Book Antiqua" w:hAnsi="Book Antiqua"/>
                <w:i/>
                <w:iCs/>
                <w:sz w:val="22"/>
                <w:szCs w:val="22"/>
                <w:lang w:val="id-ID"/>
              </w:rPr>
              <w:t>Hedonic</w:t>
            </w:r>
            <w:r w:rsidRPr="00E31F4A">
              <w:rPr>
                <w:rFonts w:ascii="Book Antiqua" w:hAnsi="Book Antiqua"/>
                <w:sz w:val="22"/>
                <w:szCs w:val="22"/>
                <w:lang w:val="id-ID"/>
              </w:rPr>
              <w:t>)</w:t>
            </w:r>
          </w:p>
        </w:tc>
        <w:tc>
          <w:tcPr>
            <w:tcW w:w="1531" w:type="dxa"/>
          </w:tcPr>
          <w:p w14:paraId="61F1A8B9" w14:textId="14E85F89"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4 – 7</w:t>
            </w:r>
          </w:p>
        </w:tc>
        <w:tc>
          <w:tcPr>
            <w:tcW w:w="1587" w:type="dxa"/>
          </w:tcPr>
          <w:p w14:paraId="0EE299A0" w14:textId="046E83C9"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Rendah</w:t>
            </w:r>
          </w:p>
        </w:tc>
        <w:tc>
          <w:tcPr>
            <w:tcW w:w="1134" w:type="dxa"/>
          </w:tcPr>
          <w:p w14:paraId="262C4F7E" w14:textId="38B5DF22"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w:t>
            </w:r>
          </w:p>
        </w:tc>
        <w:tc>
          <w:tcPr>
            <w:tcW w:w="1134" w:type="dxa"/>
          </w:tcPr>
          <w:p w14:paraId="0CF24960" w14:textId="71C75BF8"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8,51%</w:t>
            </w:r>
          </w:p>
        </w:tc>
      </w:tr>
      <w:tr w:rsidR="002C6A2B" w:rsidRPr="00E31F4A" w14:paraId="2AEB8AC6" w14:textId="77777777" w:rsidTr="002C6A2B">
        <w:trPr>
          <w:jc w:val="center"/>
        </w:trPr>
        <w:tc>
          <w:tcPr>
            <w:tcW w:w="1980" w:type="dxa"/>
            <w:vMerge/>
          </w:tcPr>
          <w:p w14:paraId="6725C3E1" w14:textId="77777777" w:rsidR="002C6A2B" w:rsidRPr="00E31F4A" w:rsidRDefault="002C6A2B" w:rsidP="004472FB">
            <w:pPr>
              <w:jc w:val="center"/>
              <w:rPr>
                <w:rFonts w:ascii="Book Antiqua" w:hAnsi="Book Antiqua"/>
                <w:sz w:val="22"/>
                <w:szCs w:val="22"/>
                <w:lang w:val="id-ID"/>
              </w:rPr>
            </w:pPr>
          </w:p>
        </w:tc>
        <w:tc>
          <w:tcPr>
            <w:tcW w:w="1531" w:type="dxa"/>
          </w:tcPr>
          <w:p w14:paraId="2ED88F9E" w14:textId="098F1993"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 – 13</w:t>
            </w:r>
          </w:p>
        </w:tc>
        <w:tc>
          <w:tcPr>
            <w:tcW w:w="1587" w:type="dxa"/>
          </w:tcPr>
          <w:p w14:paraId="450A640F" w14:textId="53CC4848"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Sedang</w:t>
            </w:r>
          </w:p>
        </w:tc>
        <w:tc>
          <w:tcPr>
            <w:tcW w:w="1134" w:type="dxa"/>
          </w:tcPr>
          <w:p w14:paraId="3AAD6E1D" w14:textId="47561196"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76</w:t>
            </w:r>
          </w:p>
        </w:tc>
        <w:tc>
          <w:tcPr>
            <w:tcW w:w="1134" w:type="dxa"/>
          </w:tcPr>
          <w:p w14:paraId="2A662022" w14:textId="74963F04"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80,85%</w:t>
            </w:r>
          </w:p>
        </w:tc>
      </w:tr>
      <w:tr w:rsidR="002C6A2B" w:rsidRPr="00E31F4A" w14:paraId="2A0ACFBE" w14:textId="77777777" w:rsidTr="002C6A2B">
        <w:trPr>
          <w:jc w:val="center"/>
        </w:trPr>
        <w:tc>
          <w:tcPr>
            <w:tcW w:w="1980" w:type="dxa"/>
            <w:vMerge/>
          </w:tcPr>
          <w:p w14:paraId="2937A047" w14:textId="77777777" w:rsidR="002C6A2B" w:rsidRPr="00E31F4A" w:rsidRDefault="002C6A2B" w:rsidP="004472FB">
            <w:pPr>
              <w:jc w:val="center"/>
              <w:rPr>
                <w:rFonts w:ascii="Book Antiqua" w:hAnsi="Book Antiqua"/>
                <w:sz w:val="22"/>
                <w:szCs w:val="22"/>
                <w:lang w:val="id-ID"/>
              </w:rPr>
            </w:pPr>
          </w:p>
        </w:tc>
        <w:tc>
          <w:tcPr>
            <w:tcW w:w="1531" w:type="dxa"/>
          </w:tcPr>
          <w:p w14:paraId="560C8F2B" w14:textId="050E5C0A"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14 – 15</w:t>
            </w:r>
          </w:p>
        </w:tc>
        <w:tc>
          <w:tcPr>
            <w:tcW w:w="1587" w:type="dxa"/>
          </w:tcPr>
          <w:p w14:paraId="3ADD5A7C" w14:textId="374F389F"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Tinggi</w:t>
            </w:r>
          </w:p>
        </w:tc>
        <w:tc>
          <w:tcPr>
            <w:tcW w:w="1134" w:type="dxa"/>
          </w:tcPr>
          <w:p w14:paraId="58E5162C" w14:textId="70EF1267"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10</w:t>
            </w:r>
          </w:p>
        </w:tc>
        <w:tc>
          <w:tcPr>
            <w:tcW w:w="1134" w:type="dxa"/>
          </w:tcPr>
          <w:p w14:paraId="679068A1" w14:textId="0CC15710"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10,64%</w:t>
            </w:r>
          </w:p>
        </w:tc>
      </w:tr>
      <w:tr w:rsidR="002C6A2B" w:rsidRPr="00E31F4A" w14:paraId="79F05DD6" w14:textId="77777777" w:rsidTr="002C6A2B">
        <w:trPr>
          <w:jc w:val="center"/>
        </w:trPr>
        <w:tc>
          <w:tcPr>
            <w:tcW w:w="1980" w:type="dxa"/>
            <w:vMerge w:val="restart"/>
          </w:tcPr>
          <w:p w14:paraId="7BD06B09" w14:textId="2CED5E0C"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Kesejahteraan Psikologis (</w:t>
            </w:r>
            <w:r w:rsidRPr="00E31F4A">
              <w:rPr>
                <w:rFonts w:ascii="Book Antiqua" w:hAnsi="Book Antiqua"/>
                <w:i/>
                <w:iCs/>
                <w:sz w:val="22"/>
                <w:szCs w:val="22"/>
                <w:lang w:val="id-ID"/>
              </w:rPr>
              <w:t>Eudaimonic</w:t>
            </w:r>
            <w:r w:rsidRPr="00E31F4A">
              <w:rPr>
                <w:rFonts w:ascii="Book Antiqua" w:hAnsi="Book Antiqua"/>
                <w:sz w:val="22"/>
                <w:szCs w:val="22"/>
                <w:lang w:val="id-ID"/>
              </w:rPr>
              <w:t>)</w:t>
            </w:r>
          </w:p>
        </w:tc>
        <w:tc>
          <w:tcPr>
            <w:tcW w:w="1531" w:type="dxa"/>
          </w:tcPr>
          <w:p w14:paraId="05A72F42" w14:textId="512FE00D"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22 – 30</w:t>
            </w:r>
          </w:p>
        </w:tc>
        <w:tc>
          <w:tcPr>
            <w:tcW w:w="1587" w:type="dxa"/>
          </w:tcPr>
          <w:p w14:paraId="79CCBB88" w14:textId="00179779"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Rendah</w:t>
            </w:r>
          </w:p>
        </w:tc>
        <w:tc>
          <w:tcPr>
            <w:tcW w:w="1134" w:type="dxa"/>
          </w:tcPr>
          <w:p w14:paraId="3E435854" w14:textId="1EA1ED69"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w:t>
            </w:r>
          </w:p>
        </w:tc>
        <w:tc>
          <w:tcPr>
            <w:tcW w:w="1134" w:type="dxa"/>
          </w:tcPr>
          <w:p w14:paraId="38A0552C" w14:textId="7CBB117F"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8,51%</w:t>
            </w:r>
          </w:p>
        </w:tc>
      </w:tr>
      <w:tr w:rsidR="002C6A2B" w:rsidRPr="00E31F4A" w14:paraId="36C0BCED" w14:textId="77777777" w:rsidTr="002C6A2B">
        <w:trPr>
          <w:jc w:val="center"/>
        </w:trPr>
        <w:tc>
          <w:tcPr>
            <w:tcW w:w="1980" w:type="dxa"/>
            <w:vMerge/>
          </w:tcPr>
          <w:p w14:paraId="154CC751" w14:textId="77777777" w:rsidR="002C6A2B" w:rsidRPr="00E31F4A" w:rsidRDefault="002C6A2B" w:rsidP="004472FB">
            <w:pPr>
              <w:jc w:val="center"/>
              <w:rPr>
                <w:rFonts w:ascii="Book Antiqua" w:hAnsi="Book Antiqua"/>
                <w:sz w:val="22"/>
                <w:szCs w:val="22"/>
                <w:lang w:val="id-ID"/>
              </w:rPr>
            </w:pPr>
          </w:p>
        </w:tc>
        <w:tc>
          <w:tcPr>
            <w:tcW w:w="1531" w:type="dxa"/>
          </w:tcPr>
          <w:p w14:paraId="3D87298B" w14:textId="6F28E0C2"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31 – 45</w:t>
            </w:r>
          </w:p>
        </w:tc>
        <w:tc>
          <w:tcPr>
            <w:tcW w:w="1587" w:type="dxa"/>
          </w:tcPr>
          <w:p w14:paraId="05519F67" w14:textId="241AB17C"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Sedang</w:t>
            </w:r>
          </w:p>
        </w:tc>
        <w:tc>
          <w:tcPr>
            <w:tcW w:w="1134" w:type="dxa"/>
          </w:tcPr>
          <w:p w14:paraId="275CE718" w14:textId="1A17818A"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72</w:t>
            </w:r>
          </w:p>
        </w:tc>
        <w:tc>
          <w:tcPr>
            <w:tcW w:w="1134" w:type="dxa"/>
          </w:tcPr>
          <w:p w14:paraId="321A51CC" w14:textId="23771706"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76,60%</w:t>
            </w:r>
          </w:p>
        </w:tc>
      </w:tr>
      <w:tr w:rsidR="002C6A2B" w:rsidRPr="00E31F4A" w14:paraId="3EDECE15" w14:textId="77777777" w:rsidTr="002C6A2B">
        <w:trPr>
          <w:jc w:val="center"/>
        </w:trPr>
        <w:tc>
          <w:tcPr>
            <w:tcW w:w="1980" w:type="dxa"/>
            <w:vMerge/>
          </w:tcPr>
          <w:p w14:paraId="1B1CA452" w14:textId="77777777" w:rsidR="002C6A2B" w:rsidRPr="00E31F4A" w:rsidRDefault="002C6A2B" w:rsidP="004472FB">
            <w:pPr>
              <w:jc w:val="center"/>
              <w:rPr>
                <w:rFonts w:ascii="Book Antiqua" w:hAnsi="Book Antiqua"/>
                <w:sz w:val="22"/>
                <w:szCs w:val="22"/>
                <w:lang w:val="id-ID"/>
              </w:rPr>
            </w:pPr>
          </w:p>
        </w:tc>
        <w:tc>
          <w:tcPr>
            <w:tcW w:w="1531" w:type="dxa"/>
          </w:tcPr>
          <w:p w14:paraId="34D8978F" w14:textId="6468BCF8"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46 – 55</w:t>
            </w:r>
          </w:p>
        </w:tc>
        <w:tc>
          <w:tcPr>
            <w:tcW w:w="1587" w:type="dxa"/>
          </w:tcPr>
          <w:p w14:paraId="743B2482" w14:textId="2F17A230"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Tinggi</w:t>
            </w:r>
          </w:p>
        </w:tc>
        <w:tc>
          <w:tcPr>
            <w:tcW w:w="1134" w:type="dxa"/>
          </w:tcPr>
          <w:p w14:paraId="1BF48E15" w14:textId="00F6F15D"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14</w:t>
            </w:r>
          </w:p>
        </w:tc>
        <w:tc>
          <w:tcPr>
            <w:tcW w:w="1134" w:type="dxa"/>
          </w:tcPr>
          <w:p w14:paraId="0FFB830A" w14:textId="21A304DF" w:rsidR="002C6A2B" w:rsidRPr="00E31F4A" w:rsidRDefault="002C6A2B" w:rsidP="004472FB">
            <w:pPr>
              <w:jc w:val="center"/>
              <w:rPr>
                <w:rFonts w:ascii="Book Antiqua" w:hAnsi="Book Antiqua"/>
                <w:sz w:val="22"/>
                <w:szCs w:val="22"/>
                <w:lang w:val="id-ID"/>
              </w:rPr>
            </w:pPr>
            <w:r w:rsidRPr="00E31F4A">
              <w:rPr>
                <w:rFonts w:ascii="Book Antiqua" w:hAnsi="Book Antiqua"/>
                <w:sz w:val="22"/>
                <w:szCs w:val="22"/>
                <w:lang w:val="id-ID"/>
              </w:rPr>
              <w:t>14,89%</w:t>
            </w:r>
          </w:p>
        </w:tc>
      </w:tr>
    </w:tbl>
    <w:p w14:paraId="1C273EE0" w14:textId="77777777" w:rsidR="002C6A2B" w:rsidRPr="00AE1700" w:rsidRDefault="002C6A2B" w:rsidP="004472FB">
      <w:pPr>
        <w:jc w:val="both"/>
        <w:rPr>
          <w:rFonts w:ascii="Book Antiqua" w:hAnsi="Book Antiqua"/>
          <w:sz w:val="12"/>
          <w:szCs w:val="12"/>
          <w:lang w:val="id-ID"/>
        </w:rPr>
      </w:pPr>
    </w:p>
    <w:p w14:paraId="5F69CE53" w14:textId="0A0A8CBF" w:rsidR="00152D1F" w:rsidRPr="004472FB" w:rsidRDefault="002C6A2B"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Berdasarkan tabel di atas, pada aspek </w:t>
      </w:r>
      <w:r w:rsidR="001C13AB" w:rsidRPr="004472FB">
        <w:rPr>
          <w:rFonts w:ascii="Book Antiqua" w:hAnsi="Book Antiqua"/>
          <w:sz w:val="24"/>
          <w:szCs w:val="24"/>
          <w:lang w:val="id-ID"/>
        </w:rPr>
        <w:t>kesejahteraan emosional (</w:t>
      </w:r>
      <w:r w:rsidRPr="004472FB">
        <w:rPr>
          <w:rFonts w:ascii="Book Antiqua" w:hAnsi="Book Antiqua"/>
          <w:i/>
          <w:iCs/>
          <w:sz w:val="24"/>
          <w:szCs w:val="24"/>
          <w:lang w:val="id-ID"/>
        </w:rPr>
        <w:t>hedonic</w:t>
      </w:r>
      <w:r w:rsidR="001C13AB" w:rsidRPr="004472FB">
        <w:rPr>
          <w:rFonts w:ascii="Book Antiqua" w:hAnsi="Book Antiqua"/>
          <w:sz w:val="24"/>
          <w:szCs w:val="24"/>
          <w:lang w:val="id-ID"/>
        </w:rPr>
        <w:t xml:space="preserve">) </w:t>
      </w:r>
      <w:r w:rsidRPr="004472FB">
        <w:rPr>
          <w:rFonts w:ascii="Book Antiqua" w:hAnsi="Book Antiqua"/>
          <w:sz w:val="24"/>
          <w:szCs w:val="24"/>
          <w:lang w:val="id-ID"/>
        </w:rPr>
        <w:t>terdapat 8 mahasiswa (8,51%) yang berada pada kategori rendah. Hal ini menunjukkan bahwa</w:t>
      </w:r>
      <w:r w:rsidR="00C25923" w:rsidRPr="004472FB">
        <w:rPr>
          <w:rFonts w:ascii="Book Antiqua" w:hAnsi="Book Antiqua"/>
          <w:sz w:val="24"/>
          <w:szCs w:val="24"/>
          <w:lang w:val="id-ID"/>
        </w:rPr>
        <w:t xml:space="preserve"> sebagian kecil mahasiswa masih mengalami kesulitan dalam merasakan emosi positif dan kepuasan hidup. Sebagian besar mahasiswa, yaitu 76 mahasiswa (80,85%), berada pada kategori sedang, yang menunjukkan bahwa mayoritas mahasiswa memiliki kesejahteraan emosional yang cukup baik meskipun belum optimal. Sementara itu, sebanyak 10 mahasiswa (10,64%) berada pada kategori tinggi, yang menunjukkan kemampuan merasakan emosi positif dan kepuasan hidup secara lebih stabil dalam kehidupan sehari-hari (Tennant et al., 2007).</w:t>
      </w:r>
    </w:p>
    <w:p w14:paraId="292DD24E" w14:textId="0829033E" w:rsidR="00C25923" w:rsidRPr="004472FB" w:rsidRDefault="00C25923" w:rsidP="004472FB">
      <w:pPr>
        <w:ind w:firstLine="720"/>
        <w:jc w:val="both"/>
        <w:rPr>
          <w:rFonts w:ascii="Book Antiqua" w:hAnsi="Book Antiqua"/>
          <w:sz w:val="24"/>
          <w:szCs w:val="24"/>
          <w:lang w:val="id-ID"/>
        </w:rPr>
      </w:pPr>
      <w:r w:rsidRPr="004472FB">
        <w:rPr>
          <w:rFonts w:ascii="Book Antiqua" w:hAnsi="Book Antiqua"/>
          <w:sz w:val="24"/>
          <w:szCs w:val="24"/>
          <w:lang w:val="id-ID"/>
        </w:rPr>
        <w:t>Pasa aspek</w:t>
      </w:r>
      <w:r w:rsidR="001C13AB" w:rsidRPr="004472FB">
        <w:rPr>
          <w:rFonts w:ascii="Book Antiqua" w:hAnsi="Book Antiqua"/>
          <w:sz w:val="24"/>
          <w:szCs w:val="24"/>
          <w:lang w:val="id-ID"/>
        </w:rPr>
        <w:t xml:space="preserve"> kesejahteraan psikologis</w:t>
      </w:r>
      <w:r w:rsidRPr="004472FB">
        <w:rPr>
          <w:rFonts w:ascii="Book Antiqua" w:hAnsi="Book Antiqua"/>
          <w:sz w:val="24"/>
          <w:szCs w:val="24"/>
          <w:lang w:val="id-ID"/>
        </w:rPr>
        <w:t xml:space="preserve"> </w:t>
      </w:r>
      <w:r w:rsidR="001C13AB" w:rsidRPr="004472FB">
        <w:rPr>
          <w:rFonts w:ascii="Book Antiqua" w:hAnsi="Book Antiqua"/>
          <w:sz w:val="24"/>
          <w:szCs w:val="24"/>
          <w:lang w:val="id-ID"/>
        </w:rPr>
        <w:t>(</w:t>
      </w:r>
      <w:r w:rsidRPr="004472FB">
        <w:rPr>
          <w:rFonts w:ascii="Book Antiqua" w:hAnsi="Book Antiqua"/>
          <w:i/>
          <w:iCs/>
          <w:sz w:val="24"/>
          <w:szCs w:val="24"/>
          <w:lang w:val="id-ID"/>
        </w:rPr>
        <w:t>eudaimonic</w:t>
      </w:r>
      <w:r w:rsidR="001C13AB" w:rsidRPr="004472FB">
        <w:rPr>
          <w:rFonts w:ascii="Book Antiqua" w:hAnsi="Book Antiqua"/>
          <w:sz w:val="24"/>
          <w:szCs w:val="24"/>
          <w:lang w:val="id-ID"/>
        </w:rPr>
        <w:t>)</w:t>
      </w:r>
      <w:r w:rsidRPr="004472FB">
        <w:rPr>
          <w:rFonts w:ascii="Book Antiqua" w:hAnsi="Book Antiqua"/>
          <w:sz w:val="24"/>
          <w:szCs w:val="24"/>
          <w:lang w:val="id-ID"/>
        </w:rPr>
        <w:t>, terdapat 8 mahasiswa (8,51%) yang berada pada kategori rendah, yang menunjukkan adanya hambatan dalam pengembangan diri dan fungsi psikologis. Sebagian besar mahasiswa, yaitu 72 mahasiswa (76,60%), berada pada kategori sedang, yang menunjukkan kesejahteraan psikologis yang cukup baik. Adapun 14 mahasiswa (14,89%) berada pada kategori tinggi, yang menunjukkan kemampuan menjalankan fungsi psikologis secara adap</w:t>
      </w:r>
      <w:r w:rsidR="00397AD5" w:rsidRPr="004472FB">
        <w:rPr>
          <w:rFonts w:ascii="Book Antiqua" w:hAnsi="Book Antiqua"/>
          <w:sz w:val="24"/>
          <w:szCs w:val="24"/>
          <w:lang w:val="id-ID"/>
        </w:rPr>
        <w:t>t</w:t>
      </w:r>
      <w:r w:rsidRPr="004472FB">
        <w:rPr>
          <w:rFonts w:ascii="Book Antiqua" w:hAnsi="Book Antiqua"/>
          <w:sz w:val="24"/>
          <w:szCs w:val="24"/>
          <w:lang w:val="id-ID"/>
        </w:rPr>
        <w:t xml:space="preserve">if, seperti berpikir positif, menerima diri, menjalin hubungan sosial, dan mengaktualisasikan potensi dirinya secara lebih optimal </w:t>
      </w:r>
      <w:r w:rsidR="007E278B" w:rsidRPr="004472FB">
        <w:rPr>
          <w:rFonts w:ascii="Book Antiqua" w:hAnsi="Book Antiqua"/>
          <w:sz w:val="24"/>
          <w:szCs w:val="24"/>
          <w:lang w:val="id-ID"/>
        </w:rPr>
        <w:fldChar w:fldCharType="begin" w:fldLock="1"/>
      </w:r>
      <w:r w:rsidR="007E278B" w:rsidRPr="004472FB">
        <w:rPr>
          <w:rFonts w:ascii="Book Antiqua" w:hAnsi="Book Antiqua"/>
          <w:sz w:val="24"/>
          <w:szCs w:val="24"/>
          <w:lang w:val="id-ID"/>
        </w:rPr>
        <w:instrText>ADDIN CSL_CITATION {"citationItems":[{"id":"ITEM-1","itemData":{"DOI":"10.1186/1477-7525-5-63","ISSN":"14777525","PMID":"18042300","abstract":"Background: There is increasing international interest in the concept of mental well-being and its contribution to all aspects of human life. Demand for instruments to monitor mental well-being at a population level and evaluate mental health promotion initiatives is growing. This article describes the development and validation of a new scale, comprised only of positively worded items relating to different aspects of positive mental health: the Warwick-Edinburgh Mental Well-Being Scale (WEMWBS). Methods: WEMWBS was developed by an expert panel drawing on current academic literature, qualitative research with focus groups, and psychometric testing of an existing scale. It was validated on a student and representative population sample. Content validity was assessed by reviewing the frequency of complete responses and the distribution of responses to each item. Confirmatory factor analysis was used to test the hypothesis that the scale measured a single construct. Internal consistency was assessed using Cronbach's alpha. Criterion validity was explored in terms of correlations between WEMWBS and other scales and by testing whether the scale discriminated between population groups in line with pre-specified hypotheses. Test-retest reliability was assessed at one week using intra-class correlation coefficients. Susceptibility to bias was measured using the Balanced Inventory of Desired Responding. Results: WEMWBS showed good content validity. Confirmatory factor analysis supported the single factor hypothesis. A Cronbach's alpha score of 0.89 (student sample) and 0.91 (population sample) suggests some item redundancy in the scale. WEMWBS showed high correlations with other mental health and well-being scales and lower correlations with scales measuring overall health. Its distribution was near normal and the scale did not show ceiling effects in a population sample. It discriminated between population groups in a way that is largely consistent with the results of other population surveys. Test-retest reliability at one week was high (0.83). Social desirability bias was lower or similar to that of other comparable scales. Conclusion: WEMWBS is a measure of mental well-being focusing entirely on positive aspects of mental health. As a short and psychometrically robust scale, with no ceiling effects in a population sample, it offers promise as a tool for monitoring mental well-being at a population level. Whilst WEMWBS should appeal to those evaluating mental…","author":[{"dropping-particle":"","family":"Tennant","given":"Ruth","non-dropping-particle":"","parse-names":false,"suffix":""},{"dropping-particle":"","family":"Hiller","given":"Louise","non-dropping-particle":"","parse-names":false,"suffix":""},{"dropping-particle":"","family":"Fishwick","given":"Ruth","non-dropping-particle":"","parse-names":false,"suffix":""},{"dropping-particle":"","family":"Platt","given":"Stephen","non-dropping-particle":"","parse-names":false,"suffix":""},{"dropping-particle":"","family":"Joseph","given":"Stephen","non-dropping-particle":"","parse-names":false,"suffix":""},{"dropping-particle":"","family":"Weich","given":"Scott","non-dropping-particle":"","parse-names":false,"suffix":""},{"dropping-particle":"","family":"Parkinson","given":"Jane","non-dropping-particle":"","parse-names":false,"suffix":""},{"dropping-particle":"","family":"Secker","given":"Jenny","non-dropping-particle":"","parse-names":false,"suffix":""},{"dropping-particle":"","family":"Stewart-Brown","given":"Sarah","non-dropping-particle":"","parse-names":false,"suffix":""}],"container-title":"Health and Quality of Life Outcomes","id":"ITEM-1","issue":"1","issued":{"date-parts":[["2007"]]},"page":"63","title":"The Warwick-Dinburgh mental well-being scale (WEMWBS): Development and UK validation","type":"article-journal","volume":"5"},"uris":["http://www.mendeley.com/documents/?uuid=d7a41fb1-e6d9-4739-bb64-b7cd0433523d"]}],"mendeley":{"formattedCitation":"[17]","plainTextFormattedCitation":"[17]","previouslyFormattedCitation":"[17]"},"properties":{"noteIndex":0},"schema":"https://github.com/citation-style-language/schema/raw/master/csl-citation.json"}</w:instrText>
      </w:r>
      <w:r w:rsidR="007E278B" w:rsidRPr="004472FB">
        <w:rPr>
          <w:rFonts w:ascii="Book Antiqua" w:hAnsi="Book Antiqua"/>
          <w:sz w:val="24"/>
          <w:szCs w:val="24"/>
          <w:lang w:val="id-ID"/>
        </w:rPr>
        <w:fldChar w:fldCharType="separate"/>
      </w:r>
      <w:r w:rsidR="007E278B" w:rsidRPr="004472FB">
        <w:rPr>
          <w:rFonts w:ascii="Book Antiqua" w:hAnsi="Book Antiqua"/>
          <w:noProof/>
          <w:sz w:val="24"/>
          <w:szCs w:val="24"/>
          <w:lang w:val="id-ID"/>
        </w:rPr>
        <w:t>[17]</w:t>
      </w:r>
      <w:r w:rsidR="007E278B" w:rsidRPr="004472FB">
        <w:rPr>
          <w:rFonts w:ascii="Book Antiqua" w:hAnsi="Book Antiqua"/>
          <w:sz w:val="24"/>
          <w:szCs w:val="24"/>
          <w:lang w:val="id-ID"/>
        </w:rPr>
        <w:fldChar w:fldCharType="end"/>
      </w:r>
      <w:r w:rsidRPr="004472FB">
        <w:rPr>
          <w:rFonts w:ascii="Book Antiqua" w:hAnsi="Book Antiqua"/>
          <w:sz w:val="24"/>
          <w:szCs w:val="24"/>
          <w:lang w:val="id-ID"/>
        </w:rPr>
        <w:t xml:space="preserve">. Temuan ini sejalan dengan penelitian Refnandes et al. </w:t>
      </w:r>
      <w:r w:rsidR="007E278B" w:rsidRPr="004472FB">
        <w:rPr>
          <w:rFonts w:ascii="Book Antiqua" w:hAnsi="Book Antiqua"/>
          <w:sz w:val="24"/>
          <w:szCs w:val="24"/>
          <w:lang w:val="id-ID"/>
        </w:rPr>
        <w:fldChar w:fldCharType="begin" w:fldLock="1"/>
      </w:r>
      <w:r w:rsidR="00E823BE" w:rsidRPr="004472FB">
        <w:rPr>
          <w:rFonts w:ascii="Book Antiqua" w:hAnsi="Book Antiqua"/>
          <w:sz w:val="24"/>
          <w:szCs w:val="24"/>
          <w:lang w:val="id-ID"/>
        </w:rPr>
        <w:instrText>ADDIN CSL_CITATION {"citationItems":[{"id":"ITEM-1","itemData":{"author":[{"dropping-particle":"","family":"Refnandes","given":"Randy","non-dropping-particle":"","parse-names":false,"suffix":""},{"dropping-particle":"","family":"Yeni","given":"Fitra","non-dropping-particle":"","parse-names":false,"suffix":""},{"dropping-particle":"","family":"Afdila","given":"Fikratul","non-dropping-particle":"","parse-names":false,"suffix":""}],"container-title":"Jiik Jurnal Ilmu Kesehatan","id":"ITEM-1","issue":"2","issued":{"date-parts":[["2024"]]},"page":"314-320","title":"Stres dan Kesejahteraan Psikologis Mahasiswa Baru Keperawatan Stress and Psychological Well-Being of New Nursing Students","type":"article-journal","volume":"8"},"uris":["http://www.mendeley.com/documents/?uuid=d4023bae-0cc1-49ed-8570-84ad9ebbedf9"]}],"mendeley":{"formattedCitation":"[36]","plainTextFormattedCitation":"[36]","previouslyFormattedCitation":"[35]"},"properties":{"noteIndex":0},"schema":"https://github.com/citation-style-language/schema/raw/master/csl-citation.json"}</w:instrText>
      </w:r>
      <w:r w:rsidR="007E278B" w:rsidRPr="004472FB">
        <w:rPr>
          <w:rFonts w:ascii="Book Antiqua" w:hAnsi="Book Antiqua"/>
          <w:sz w:val="24"/>
          <w:szCs w:val="24"/>
          <w:lang w:val="id-ID"/>
        </w:rPr>
        <w:fldChar w:fldCharType="separate"/>
      </w:r>
      <w:r w:rsidR="00E823BE" w:rsidRPr="004472FB">
        <w:rPr>
          <w:rFonts w:ascii="Book Antiqua" w:hAnsi="Book Antiqua"/>
          <w:noProof/>
          <w:sz w:val="24"/>
          <w:szCs w:val="24"/>
          <w:lang w:val="id-ID"/>
        </w:rPr>
        <w:t>[36]</w:t>
      </w:r>
      <w:r w:rsidR="007E278B" w:rsidRPr="004472FB">
        <w:rPr>
          <w:rFonts w:ascii="Book Antiqua" w:hAnsi="Book Antiqua"/>
          <w:sz w:val="24"/>
          <w:szCs w:val="24"/>
          <w:lang w:val="id-ID"/>
        </w:rPr>
        <w:fldChar w:fldCharType="end"/>
      </w:r>
      <w:r w:rsidRPr="004472FB">
        <w:rPr>
          <w:rFonts w:ascii="Book Antiqua" w:hAnsi="Book Antiqua"/>
          <w:sz w:val="24"/>
          <w:szCs w:val="24"/>
          <w:lang w:val="id-ID"/>
        </w:rPr>
        <w:t xml:space="preserve"> yang menunjukkan bahwa mayoritas kesejahteraan psikologis mahasiswa berada pada kategori sedang, sehingga sebagian besar mahasiswa masih memiliki kondisi psikologis yang cukup baik dalam menghadapi tuntutan akademik dan proses penyesuaian diri.</w:t>
      </w:r>
    </w:p>
    <w:p w14:paraId="1EB1AACE" w14:textId="77777777" w:rsidR="002C6A2B" w:rsidRPr="004472FB" w:rsidRDefault="002C6A2B" w:rsidP="004472FB">
      <w:pPr>
        <w:ind w:firstLine="720"/>
        <w:jc w:val="both"/>
        <w:rPr>
          <w:rFonts w:ascii="Book Antiqua" w:hAnsi="Book Antiqua"/>
          <w:sz w:val="24"/>
          <w:szCs w:val="24"/>
          <w:lang w:val="id-ID"/>
        </w:rPr>
      </w:pPr>
    </w:p>
    <w:p w14:paraId="6C7D8948" w14:textId="77777777" w:rsidR="007F38C0" w:rsidRPr="004472FB" w:rsidRDefault="007F38C0" w:rsidP="004472FB">
      <w:pPr>
        <w:tabs>
          <w:tab w:val="left" w:pos="426"/>
        </w:tabs>
        <w:rPr>
          <w:rFonts w:ascii="Book Antiqua" w:hAnsi="Book Antiqua"/>
          <w:b/>
          <w:bCs/>
          <w:sz w:val="24"/>
          <w:szCs w:val="24"/>
          <w:lang w:val="id-ID"/>
        </w:rPr>
      </w:pPr>
      <w:r w:rsidRPr="004472FB">
        <w:rPr>
          <w:rFonts w:ascii="Book Antiqua" w:hAnsi="Book Antiqua"/>
          <w:b/>
          <w:bCs/>
          <w:sz w:val="24"/>
          <w:szCs w:val="24"/>
          <w:lang w:val="id-ID"/>
        </w:rPr>
        <w:t xml:space="preserve">PENUTUP </w:t>
      </w:r>
    </w:p>
    <w:p w14:paraId="2C3BCE64" w14:textId="77777777" w:rsidR="00D6182A" w:rsidRDefault="00E85AEA" w:rsidP="004472FB">
      <w:pPr>
        <w:ind w:firstLine="720"/>
        <w:jc w:val="both"/>
        <w:rPr>
          <w:rFonts w:ascii="Book Antiqua" w:hAnsi="Book Antiqua"/>
          <w:sz w:val="24"/>
          <w:szCs w:val="24"/>
          <w:lang w:val="id-ID"/>
        </w:rPr>
      </w:pPr>
      <w:r w:rsidRPr="004472FB">
        <w:rPr>
          <w:rFonts w:ascii="Book Antiqua" w:hAnsi="Book Antiqua"/>
          <w:sz w:val="24"/>
          <w:szCs w:val="24"/>
          <w:lang w:val="id-ID"/>
        </w:rPr>
        <w:t>Hasil penelitian menunjukkan bahwa tingkat kesejahteraan mental mahasiswa Universitas Muhammadiyah Tasikmalaya angkatan 2025 yang mengalami kecemasan mayoritas berada pada kategori sedang. Hasil ini menunjukkan bahwa meskipun mengalami kecemasan, sebagian besar mahasiswa masih memiliki kemampuan yang cukup baik dalam mempertahankan kesejahteraan mentalnya. Hasil analisis berdasarkan aspek menunjukkan bahwa kesejahteraan emosional (</w:t>
      </w:r>
      <w:r w:rsidRPr="004472FB">
        <w:rPr>
          <w:rFonts w:ascii="Book Antiqua" w:hAnsi="Book Antiqua"/>
          <w:i/>
          <w:iCs/>
          <w:sz w:val="24"/>
          <w:szCs w:val="24"/>
          <w:lang w:val="id-ID"/>
        </w:rPr>
        <w:t>hedonic</w:t>
      </w:r>
      <w:r w:rsidRPr="004472FB">
        <w:rPr>
          <w:rFonts w:ascii="Book Antiqua" w:hAnsi="Book Antiqua"/>
          <w:sz w:val="24"/>
          <w:szCs w:val="24"/>
          <w:lang w:val="id-ID"/>
        </w:rPr>
        <w:t>) dan kesejahteraan psikologis (</w:t>
      </w:r>
      <w:r w:rsidRPr="004472FB">
        <w:rPr>
          <w:rFonts w:ascii="Book Antiqua" w:hAnsi="Book Antiqua"/>
          <w:i/>
          <w:iCs/>
          <w:sz w:val="24"/>
          <w:szCs w:val="24"/>
          <w:lang w:val="id-ID"/>
        </w:rPr>
        <w:t>eudaimonic</w:t>
      </w:r>
      <w:r w:rsidRPr="004472FB">
        <w:rPr>
          <w:rFonts w:ascii="Book Antiqua" w:hAnsi="Book Antiqua"/>
          <w:sz w:val="24"/>
          <w:szCs w:val="24"/>
          <w:lang w:val="id-ID"/>
        </w:rPr>
        <w:t>) mahasiswa berada pada kategori cukup baik.</w:t>
      </w:r>
      <w:r w:rsidR="000E71FB" w:rsidRPr="004472FB">
        <w:rPr>
          <w:rFonts w:ascii="Book Antiqua" w:hAnsi="Book Antiqua"/>
          <w:sz w:val="24"/>
          <w:szCs w:val="24"/>
          <w:lang w:val="id-ID"/>
        </w:rPr>
        <w:t xml:space="preserve"> </w:t>
      </w:r>
      <w:r w:rsidR="0014029F" w:rsidRPr="004472FB">
        <w:rPr>
          <w:rFonts w:ascii="Book Antiqua" w:hAnsi="Book Antiqua"/>
          <w:sz w:val="24"/>
          <w:szCs w:val="24"/>
          <w:lang w:val="id-ID"/>
        </w:rPr>
        <w:t>P</w:t>
      </w:r>
      <w:r w:rsidR="000E71FB" w:rsidRPr="004472FB">
        <w:rPr>
          <w:rFonts w:ascii="Book Antiqua" w:hAnsi="Book Antiqua"/>
          <w:sz w:val="24"/>
          <w:szCs w:val="24"/>
          <w:lang w:val="id-ID"/>
        </w:rPr>
        <w:t xml:space="preserve">enerimaan diri dan hubungan interpersonal menjadi indikator yang memiliki </w:t>
      </w:r>
      <w:r w:rsidR="002F00AB" w:rsidRPr="004472FB">
        <w:rPr>
          <w:rFonts w:ascii="Book Antiqua" w:hAnsi="Book Antiqua"/>
          <w:sz w:val="24"/>
          <w:szCs w:val="24"/>
          <w:lang w:val="id-ID"/>
        </w:rPr>
        <w:t>persentase</w:t>
      </w:r>
      <w:r w:rsidR="000E71FB" w:rsidRPr="004472FB">
        <w:rPr>
          <w:rFonts w:ascii="Book Antiqua" w:hAnsi="Book Antiqua"/>
          <w:sz w:val="24"/>
          <w:szCs w:val="24"/>
          <w:lang w:val="id-ID"/>
        </w:rPr>
        <w:t xml:space="preserve"> tertinggi dibandin</w:t>
      </w:r>
      <w:r w:rsidR="00397AD5" w:rsidRPr="004472FB">
        <w:rPr>
          <w:rFonts w:ascii="Book Antiqua" w:hAnsi="Book Antiqua"/>
          <w:sz w:val="24"/>
          <w:szCs w:val="24"/>
          <w:lang w:val="id-ID"/>
        </w:rPr>
        <w:t>g</w:t>
      </w:r>
      <w:r w:rsidR="000E71FB" w:rsidRPr="004472FB">
        <w:rPr>
          <w:rFonts w:ascii="Book Antiqua" w:hAnsi="Book Antiqua"/>
          <w:sz w:val="24"/>
          <w:szCs w:val="24"/>
          <w:lang w:val="id-ID"/>
        </w:rPr>
        <w:t xml:space="preserve">kan dengan indikator lainnya, sedangkan fungsi psikologis dan aktualisasi diri </w:t>
      </w:r>
      <w:r w:rsidR="002F00AB" w:rsidRPr="004472FB">
        <w:rPr>
          <w:rFonts w:ascii="Book Antiqua" w:hAnsi="Book Antiqua"/>
          <w:sz w:val="24"/>
          <w:szCs w:val="24"/>
          <w:lang w:val="id-ID"/>
        </w:rPr>
        <w:lastRenderedPageBreak/>
        <w:t>merupakan indikator dengan persentase terendah</w:t>
      </w:r>
      <w:r w:rsidR="000E71FB" w:rsidRPr="004472FB">
        <w:rPr>
          <w:rFonts w:ascii="Book Antiqua" w:hAnsi="Book Antiqua"/>
          <w:sz w:val="24"/>
          <w:szCs w:val="24"/>
          <w:lang w:val="id-ID"/>
        </w:rPr>
        <w:t xml:space="preserve">. </w:t>
      </w:r>
      <w:r w:rsidR="002F00AB" w:rsidRPr="004472FB">
        <w:rPr>
          <w:rFonts w:ascii="Book Antiqua" w:hAnsi="Book Antiqua"/>
          <w:sz w:val="24"/>
          <w:szCs w:val="24"/>
          <w:lang w:val="id-ID"/>
        </w:rPr>
        <w:t xml:space="preserve">Temuan ini mengindikasikan bahwa mahasiswa yang mengalami kecemasan masih memerlukan pengembangan dalam kemampuan mengelola diri, menghadapi berbagai tuntutan kehidupan, serta mengoptimalkan potensi dan pertumbuhan dirinya. Oleh karena itu, fungsi psikologis dan aktualisasi diri perlu menjadi fokus perhatian dalam upaya pengembangan kesejahteraan mental mahasiswa </w:t>
      </w:r>
      <w:r w:rsidR="000E71FB" w:rsidRPr="004472FB">
        <w:rPr>
          <w:rFonts w:ascii="Book Antiqua" w:hAnsi="Book Antiqua"/>
          <w:sz w:val="24"/>
          <w:szCs w:val="24"/>
          <w:lang w:val="id-ID"/>
        </w:rPr>
        <w:t>melalui layanan bimbingan dan konseling di perguruan tinggi</w:t>
      </w:r>
      <w:r w:rsidR="002F00AB" w:rsidRPr="004472FB">
        <w:rPr>
          <w:rFonts w:ascii="Book Antiqua" w:hAnsi="Book Antiqua"/>
          <w:sz w:val="24"/>
          <w:szCs w:val="24"/>
          <w:lang w:val="id-ID"/>
        </w:rPr>
        <w:t xml:space="preserve">. </w:t>
      </w:r>
    </w:p>
    <w:p w14:paraId="27087762" w14:textId="31B5F319" w:rsidR="007F38C0" w:rsidRPr="004472FB" w:rsidRDefault="002F00AB" w:rsidP="004472FB">
      <w:pPr>
        <w:ind w:firstLine="720"/>
        <w:jc w:val="both"/>
        <w:rPr>
          <w:rFonts w:ascii="Book Antiqua" w:hAnsi="Book Antiqua"/>
          <w:sz w:val="24"/>
          <w:szCs w:val="24"/>
          <w:lang w:val="id-ID"/>
        </w:rPr>
      </w:pPr>
      <w:r w:rsidRPr="004472FB">
        <w:rPr>
          <w:rFonts w:ascii="Book Antiqua" w:hAnsi="Book Antiqua"/>
          <w:sz w:val="24"/>
          <w:szCs w:val="24"/>
          <w:lang w:val="id-ID"/>
        </w:rPr>
        <w:t xml:space="preserve">Dengan demikian, </w:t>
      </w:r>
      <w:r w:rsidR="000E71FB" w:rsidRPr="004472FB">
        <w:rPr>
          <w:rFonts w:ascii="Book Antiqua" w:hAnsi="Book Antiqua"/>
          <w:sz w:val="24"/>
          <w:szCs w:val="24"/>
          <w:lang w:val="id-ID"/>
        </w:rPr>
        <w:t>mahasiswa</w:t>
      </w:r>
      <w:r w:rsidRPr="004472FB">
        <w:rPr>
          <w:rFonts w:ascii="Book Antiqua" w:hAnsi="Book Antiqua"/>
          <w:sz w:val="24"/>
          <w:szCs w:val="24"/>
          <w:lang w:val="id-ID"/>
        </w:rPr>
        <w:t xml:space="preserve"> diharapkan </w:t>
      </w:r>
      <w:r w:rsidR="000E71FB" w:rsidRPr="004472FB">
        <w:rPr>
          <w:rFonts w:ascii="Book Antiqua" w:hAnsi="Book Antiqua"/>
          <w:sz w:val="24"/>
          <w:szCs w:val="24"/>
          <w:lang w:val="id-ID"/>
        </w:rPr>
        <w:t>dapat mengoptimalkan potensi dirinya, meningkatkan kemampuan adaptasi, dan menghadapi berbagai tuntutan akademik dan kehidupan sehari-hari secara lebih efektif.</w:t>
      </w:r>
      <w:r w:rsidR="00F868A9" w:rsidRPr="004472FB">
        <w:rPr>
          <w:rFonts w:ascii="Book Antiqua" w:hAnsi="Book Antiqua"/>
          <w:sz w:val="24"/>
          <w:szCs w:val="24"/>
          <w:lang w:val="id-ID"/>
        </w:rPr>
        <w:t xml:space="preserve"> Saran pengembangan penelitian selanjutnya dapat diarahkan untuk melakukan penelitian dengan menggunakan desain korelasional untuk menguji hubungan antara kecemasan dan masing-masing aspek kesejahteraan mental, serta menggunakan desain eksperimen untuk menguji efektivitas intervensi terhadap peningkatan kesejahteraan mental mahasiswa yang mengalami kecemasan. Selain itu, perluasan sampel ke berbagai program studi dan perguruan tinggi lain akan meningkatkan keterwakilan data serta meningkatkan tingkat generalisasi hasil penelitian.</w:t>
      </w:r>
    </w:p>
    <w:p w14:paraId="0AD8B78E" w14:textId="77777777" w:rsidR="007F38C0" w:rsidRPr="004472FB" w:rsidRDefault="007F38C0" w:rsidP="004472FB">
      <w:pPr>
        <w:rPr>
          <w:rFonts w:ascii="Book Antiqua" w:hAnsi="Book Antiqua"/>
          <w:b/>
          <w:bCs/>
          <w:sz w:val="24"/>
          <w:szCs w:val="24"/>
          <w:lang w:val="id-ID"/>
        </w:rPr>
      </w:pPr>
    </w:p>
    <w:p w14:paraId="1CE5727D" w14:textId="77777777" w:rsidR="007F38C0" w:rsidRPr="004472FB" w:rsidRDefault="007F38C0" w:rsidP="004472FB">
      <w:pPr>
        <w:tabs>
          <w:tab w:val="left" w:pos="426"/>
        </w:tabs>
        <w:rPr>
          <w:rFonts w:ascii="Book Antiqua" w:hAnsi="Book Antiqua"/>
          <w:b/>
          <w:bCs/>
          <w:sz w:val="24"/>
          <w:szCs w:val="24"/>
          <w:lang w:val="id-ID"/>
        </w:rPr>
      </w:pPr>
      <w:r w:rsidRPr="004472FB">
        <w:rPr>
          <w:rFonts w:ascii="Book Antiqua" w:hAnsi="Book Antiqua"/>
          <w:b/>
          <w:sz w:val="24"/>
          <w:szCs w:val="24"/>
          <w:lang w:val="id-ID"/>
        </w:rPr>
        <w:t>DAFTAR PUSTAKA</w:t>
      </w:r>
      <w:r w:rsidRPr="004472FB">
        <w:rPr>
          <w:rFonts w:ascii="Book Antiqua" w:hAnsi="Book Antiqua"/>
          <w:bCs/>
          <w:sz w:val="24"/>
          <w:szCs w:val="24"/>
          <w:lang w:val="id-ID"/>
        </w:rPr>
        <w:t xml:space="preserve"> </w:t>
      </w:r>
    </w:p>
    <w:p w14:paraId="2663D8FD" w14:textId="5523294D" w:rsidR="00E823BE" w:rsidRPr="004472FB" w:rsidRDefault="008F614F"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Calibri"/>
          <w:sz w:val="24"/>
          <w:szCs w:val="24"/>
          <w:lang w:val="id-ID"/>
        </w:rPr>
        <w:fldChar w:fldCharType="begin" w:fldLock="1"/>
      </w:r>
      <w:r w:rsidRPr="004472FB">
        <w:rPr>
          <w:rFonts w:ascii="Book Antiqua" w:hAnsi="Book Antiqua" w:cs="Calibri"/>
          <w:sz w:val="24"/>
          <w:szCs w:val="24"/>
          <w:lang w:val="id-ID"/>
        </w:rPr>
        <w:instrText xml:space="preserve">ADDIN Mendeley Bibliography CSL_BIBLIOGRAPHY </w:instrText>
      </w:r>
      <w:r w:rsidRPr="004472FB">
        <w:rPr>
          <w:rFonts w:ascii="Book Antiqua" w:hAnsi="Book Antiqua" w:cs="Calibri"/>
          <w:sz w:val="24"/>
          <w:szCs w:val="24"/>
          <w:lang w:val="id-ID"/>
        </w:rPr>
        <w:fldChar w:fldCharType="separate"/>
      </w:r>
      <w:r w:rsidR="00E823BE" w:rsidRPr="004472FB">
        <w:rPr>
          <w:rFonts w:ascii="Book Antiqua" w:hAnsi="Book Antiqua" w:cs="Vrinda"/>
          <w:noProof/>
          <w:sz w:val="24"/>
          <w:szCs w:val="24"/>
        </w:rPr>
        <w:t>[1]</w:t>
      </w:r>
      <w:r w:rsidR="00E823BE" w:rsidRPr="004472FB">
        <w:rPr>
          <w:rFonts w:ascii="Book Antiqua" w:hAnsi="Book Antiqua" w:cs="Vrinda"/>
          <w:noProof/>
          <w:sz w:val="24"/>
          <w:szCs w:val="24"/>
        </w:rPr>
        <w:tab/>
        <w:t xml:space="preserve">H. Ihsani and S. E. Utami, “The role of religiosity and self-efficacy towards a quarter-life crisis in Muslim college students,” </w:t>
      </w:r>
      <w:r w:rsidR="00E823BE" w:rsidRPr="004472FB">
        <w:rPr>
          <w:rFonts w:ascii="Book Antiqua" w:hAnsi="Book Antiqua" w:cs="Vrinda"/>
          <w:i/>
          <w:iCs/>
          <w:noProof/>
          <w:sz w:val="24"/>
          <w:szCs w:val="24"/>
        </w:rPr>
        <w:t>INSPIRA Indones. J. Psychol. Res.</w:t>
      </w:r>
      <w:r w:rsidR="00E823BE" w:rsidRPr="004472FB">
        <w:rPr>
          <w:rFonts w:ascii="Book Antiqua" w:hAnsi="Book Antiqua" w:cs="Vrinda"/>
          <w:noProof/>
          <w:sz w:val="24"/>
          <w:szCs w:val="24"/>
        </w:rPr>
        <w:t>, vol. 3, no. 1, pp. 31–37, 2022, doi: 10.32505/inspira.v3i1.4309.</w:t>
      </w:r>
    </w:p>
    <w:p w14:paraId="5F881635"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w:t>
      </w:r>
      <w:r w:rsidRPr="004472FB">
        <w:rPr>
          <w:rFonts w:ascii="Book Antiqua" w:hAnsi="Book Antiqua" w:cs="Vrinda"/>
          <w:noProof/>
          <w:sz w:val="24"/>
          <w:szCs w:val="24"/>
        </w:rPr>
        <w:tab/>
        <w:t xml:space="preserve">A. Rahmadani and Y. M. Rahmawati, “Adaptasi akademik, sosial, personal, dan institusional: studi college adjustment terhadap mahasiswa tingkat pertama.,” </w:t>
      </w:r>
      <w:r w:rsidRPr="004472FB">
        <w:rPr>
          <w:rFonts w:ascii="Book Antiqua" w:hAnsi="Book Antiqua" w:cs="Vrinda"/>
          <w:i/>
          <w:iCs/>
          <w:noProof/>
          <w:sz w:val="24"/>
          <w:szCs w:val="24"/>
        </w:rPr>
        <w:t>J. Konseling dan Pendidik.</w:t>
      </w:r>
      <w:r w:rsidRPr="004472FB">
        <w:rPr>
          <w:rFonts w:ascii="Book Antiqua" w:hAnsi="Book Antiqua" w:cs="Vrinda"/>
          <w:noProof/>
          <w:sz w:val="24"/>
          <w:szCs w:val="24"/>
        </w:rPr>
        <w:t>, vol. 8, no. 3, pp. 158–166, 2020, doi: 10.29210/145700.</w:t>
      </w:r>
    </w:p>
    <w:p w14:paraId="02C8E738" w14:textId="109CC3C3" w:rsidR="00E823BE" w:rsidRPr="004472FB" w:rsidRDefault="00E823BE" w:rsidP="004472FB">
      <w:pPr>
        <w:widowControl w:val="0"/>
        <w:autoSpaceDE w:val="0"/>
        <w:autoSpaceDN w:val="0"/>
        <w:adjustRightInd w:val="0"/>
        <w:ind w:left="641" w:hanging="641"/>
        <w:jc w:val="both"/>
        <w:rPr>
          <w:rFonts w:ascii="Book Antiqua" w:hAnsi="Book Antiqua" w:cs="Vrinda"/>
          <w:noProof/>
          <w:sz w:val="24"/>
          <w:szCs w:val="24"/>
        </w:rPr>
      </w:pPr>
      <w:r w:rsidRPr="004472FB">
        <w:rPr>
          <w:rFonts w:ascii="Book Antiqua" w:hAnsi="Book Antiqua" w:cs="Vrinda"/>
          <w:noProof/>
          <w:sz w:val="24"/>
          <w:szCs w:val="24"/>
        </w:rPr>
        <w:t>[3]</w:t>
      </w:r>
      <w:r w:rsidRPr="004472FB">
        <w:rPr>
          <w:rFonts w:ascii="Book Antiqua" w:hAnsi="Book Antiqua" w:cs="Vrinda"/>
          <w:noProof/>
          <w:sz w:val="24"/>
          <w:szCs w:val="24"/>
        </w:rPr>
        <w:tab/>
        <w:t>D. K. D. M. S. Reza Endrata Parama Alkhalifi, “</w:t>
      </w:r>
      <w:r w:rsidR="00D6182A">
        <w:rPr>
          <w:rFonts w:ascii="Book Antiqua" w:hAnsi="Book Antiqua" w:cs="Vrinda"/>
          <w:noProof/>
          <w:sz w:val="24"/>
          <w:szCs w:val="24"/>
        </w:rPr>
        <w:t>Hubungan Tingkat Kesepian dengan Gangguan Mental Emosional pada Mahassiswa Baru</w:t>
      </w:r>
      <w:r w:rsidRPr="004472FB">
        <w:rPr>
          <w:rFonts w:ascii="Book Antiqua" w:hAnsi="Book Antiqua" w:cs="Vrinda"/>
          <w:noProof/>
          <w:sz w:val="24"/>
          <w:szCs w:val="24"/>
        </w:rPr>
        <w:t xml:space="preserve">,” </w:t>
      </w:r>
      <w:r w:rsidRPr="004472FB">
        <w:rPr>
          <w:rFonts w:ascii="Book Antiqua" w:hAnsi="Book Antiqua" w:cs="Vrinda"/>
          <w:i/>
          <w:iCs/>
          <w:noProof/>
          <w:sz w:val="24"/>
          <w:szCs w:val="24"/>
        </w:rPr>
        <w:t>Didakt.  J. Ilm. PGSD FKIP Univ. Mandiri</w:t>
      </w:r>
      <w:r w:rsidRPr="004472FB">
        <w:rPr>
          <w:rFonts w:ascii="Book Antiqua" w:hAnsi="Book Antiqua" w:cs="Vrinda"/>
          <w:noProof/>
          <w:sz w:val="24"/>
          <w:szCs w:val="24"/>
        </w:rPr>
        <w:t>, vol. 11, no. 02, pp. 249–261, 2025, doi: https://doi.org/10.36989/didaktik.v11i02.6205.</w:t>
      </w:r>
    </w:p>
    <w:p w14:paraId="705AFB66" w14:textId="77777777" w:rsidR="00E823BE" w:rsidRPr="004472FB" w:rsidRDefault="00E823BE" w:rsidP="004472FB">
      <w:pPr>
        <w:widowControl w:val="0"/>
        <w:autoSpaceDE w:val="0"/>
        <w:autoSpaceDN w:val="0"/>
        <w:adjustRightInd w:val="0"/>
        <w:ind w:left="641" w:hanging="641"/>
        <w:jc w:val="both"/>
        <w:rPr>
          <w:rFonts w:ascii="Book Antiqua" w:hAnsi="Book Antiqua" w:cs="Vrinda"/>
          <w:noProof/>
          <w:sz w:val="24"/>
          <w:szCs w:val="24"/>
        </w:rPr>
      </w:pPr>
      <w:r w:rsidRPr="004472FB">
        <w:rPr>
          <w:rFonts w:ascii="Book Antiqua" w:hAnsi="Book Antiqua" w:cs="Vrinda"/>
          <w:noProof/>
          <w:sz w:val="24"/>
          <w:szCs w:val="24"/>
        </w:rPr>
        <w:t>[4]</w:t>
      </w:r>
      <w:r w:rsidRPr="004472FB">
        <w:rPr>
          <w:rFonts w:ascii="Book Antiqua" w:hAnsi="Book Antiqua" w:cs="Vrinda"/>
          <w:noProof/>
          <w:sz w:val="24"/>
          <w:szCs w:val="24"/>
        </w:rPr>
        <w:tab/>
        <w:t xml:space="preserve">I. J. Tresnadi, Ahmad, and N. M. Djalal, “Hubungan Antara College Adjusment dan Stres Akademik Pada Mahasiswa Baru Fakultas Psikologi Universitas Negeri Makassar,” </w:t>
      </w:r>
      <w:r w:rsidRPr="004472FB">
        <w:rPr>
          <w:rFonts w:ascii="Book Antiqua" w:hAnsi="Book Antiqua" w:cs="Vrinda"/>
          <w:i/>
          <w:iCs/>
          <w:noProof/>
          <w:sz w:val="24"/>
          <w:szCs w:val="24"/>
        </w:rPr>
        <w:t>J-CEKI J. Cendekia Ilm.</w:t>
      </w:r>
      <w:r w:rsidRPr="004472FB">
        <w:rPr>
          <w:rFonts w:ascii="Book Antiqua" w:hAnsi="Book Antiqua" w:cs="Vrinda"/>
          <w:noProof/>
          <w:sz w:val="24"/>
          <w:szCs w:val="24"/>
        </w:rPr>
        <w:t>, vol. 3, no. 6, pp. 7742–7252, 2024, doi: 10.56799/jceki.v3i6.5641.</w:t>
      </w:r>
    </w:p>
    <w:p w14:paraId="6D6B70C4"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[5]</w:t>
      </w:r>
      <w:r w:rsidRPr="004472FB">
        <w:rPr>
          <w:rFonts w:ascii="Book Antiqua" w:hAnsi="Book Antiqua" w:cs="Vrinda"/>
          <w:noProof/>
          <w:sz w:val="24"/>
          <w:szCs w:val="24"/>
        </w:rPr>
        <w:tab/>
        <w:t xml:space="preserve">O. Kavindi, J., Basela, J., &amp; Martanus, “). Understanding psychological distress and social adjustment among first-year university students.,” </w:t>
      </w:r>
      <w:r w:rsidRPr="004472FB">
        <w:rPr>
          <w:rFonts w:ascii="Book Antiqua" w:hAnsi="Book Antiqua" w:cs="Vrinda"/>
          <w:i/>
          <w:iCs/>
          <w:noProof/>
          <w:sz w:val="24"/>
          <w:szCs w:val="24"/>
        </w:rPr>
        <w:t>J. Indones. Psychol. Sci. Учредители Maulana Malik Ibrahim State Islam. Univ.</w:t>
      </w:r>
      <w:r w:rsidRPr="004472FB">
        <w:rPr>
          <w:rFonts w:ascii="Book Antiqua" w:hAnsi="Book Antiqua" w:cs="Vrinda"/>
          <w:noProof/>
          <w:sz w:val="24"/>
          <w:szCs w:val="24"/>
        </w:rPr>
        <w:t>, vol. 04, no. 2, pp. 125–148, 2024, doi: 10.0.73.172/jips.v4i2.291108.</w:t>
      </w:r>
    </w:p>
    <w:p w14:paraId="4DD1F195"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[6]</w:t>
      </w:r>
      <w:r w:rsidRPr="004472FB">
        <w:rPr>
          <w:rFonts w:ascii="Book Antiqua" w:hAnsi="Book Antiqua" w:cs="Vrinda"/>
          <w:noProof/>
          <w:sz w:val="24"/>
          <w:szCs w:val="24"/>
        </w:rPr>
        <w:tab/>
        <w:t xml:space="preserve">T. Chu, X. Liu, S. Takayanagi, T. Matsushita, and H. Kishimoto, “Association between mental health and academic performance among university undergraduates: The interacting role of lifestyle behaviors,” </w:t>
      </w:r>
      <w:r w:rsidRPr="004472FB">
        <w:rPr>
          <w:rFonts w:ascii="Book Antiqua" w:hAnsi="Book Antiqua" w:cs="Vrinda"/>
          <w:i/>
          <w:iCs/>
          <w:noProof/>
          <w:sz w:val="24"/>
          <w:szCs w:val="24"/>
        </w:rPr>
        <w:t>Int. J. Methods Psychiatr. Res.</w:t>
      </w:r>
      <w:r w:rsidRPr="004472FB">
        <w:rPr>
          <w:rFonts w:ascii="Book Antiqua" w:hAnsi="Book Antiqua" w:cs="Vrinda"/>
          <w:noProof/>
          <w:sz w:val="24"/>
          <w:szCs w:val="24"/>
        </w:rPr>
        <w:t>, vol. 32, no. 1, pp. 1–8, 2023, doi: 10.1002/mpr.1938.</w:t>
      </w:r>
    </w:p>
    <w:p w14:paraId="0A2DCE01"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[7]</w:t>
      </w:r>
      <w:r w:rsidRPr="004472FB">
        <w:rPr>
          <w:rFonts w:ascii="Book Antiqua" w:hAnsi="Book Antiqua" w:cs="Vrinda"/>
          <w:noProof/>
          <w:sz w:val="24"/>
          <w:szCs w:val="24"/>
        </w:rPr>
        <w:tab/>
        <w:t>I. Ahmed, C. M. Hazell, B. Edwards, C. Glazebrook, and E. B. Davies, “A systematic review and meta-analysis of studies exploring prevalence of non-</w:t>
      </w:r>
      <w:r w:rsidRPr="004472FB">
        <w:rPr>
          <w:rFonts w:ascii="Book Antiqua" w:hAnsi="Book Antiqua" w:cs="Vrinda"/>
          <w:noProof/>
          <w:sz w:val="24"/>
          <w:szCs w:val="24"/>
        </w:rPr>
        <w:lastRenderedPageBreak/>
        <w:t xml:space="preserve">specific anxiety in undergraduate university students,” </w:t>
      </w:r>
      <w:r w:rsidRPr="004472FB">
        <w:rPr>
          <w:rFonts w:ascii="Book Antiqua" w:hAnsi="Book Antiqua" w:cs="Vrinda"/>
          <w:i/>
          <w:iCs/>
          <w:noProof/>
          <w:sz w:val="24"/>
          <w:szCs w:val="24"/>
        </w:rPr>
        <w:t>BMC Psychiatry</w:t>
      </w:r>
      <w:r w:rsidRPr="004472FB">
        <w:rPr>
          <w:rFonts w:ascii="Book Antiqua" w:hAnsi="Book Antiqua" w:cs="Vrinda"/>
          <w:noProof/>
          <w:sz w:val="24"/>
          <w:szCs w:val="24"/>
        </w:rPr>
        <w:t>, vol. 23, no. 1, 2023, doi: 10.1186/s12888-023-04645-8.</w:t>
      </w:r>
    </w:p>
    <w:p w14:paraId="1A44ACEB"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[8]</w:t>
      </w:r>
      <w:r w:rsidRPr="004472FB">
        <w:rPr>
          <w:rFonts w:ascii="Book Antiqua" w:hAnsi="Book Antiqua" w:cs="Vrinda"/>
          <w:noProof/>
          <w:sz w:val="24"/>
          <w:szCs w:val="24"/>
        </w:rPr>
        <w:tab/>
        <w:t xml:space="preserve">D. W. Grupe and J. B. Nitschke, “Uncertainty and anticipation in anxiety: An integrated neurobiological and psychological perspective,” </w:t>
      </w:r>
      <w:r w:rsidRPr="004472FB">
        <w:rPr>
          <w:rFonts w:ascii="Book Antiqua" w:hAnsi="Book Antiqua" w:cs="Vrinda"/>
          <w:i/>
          <w:iCs/>
          <w:noProof/>
          <w:sz w:val="24"/>
          <w:szCs w:val="24"/>
        </w:rPr>
        <w:t>Nat. Rev. Neurosci.</w:t>
      </w:r>
      <w:r w:rsidRPr="004472FB">
        <w:rPr>
          <w:rFonts w:ascii="Book Antiqua" w:hAnsi="Book Antiqua" w:cs="Vrinda"/>
          <w:noProof/>
          <w:sz w:val="24"/>
          <w:szCs w:val="24"/>
        </w:rPr>
        <w:t>, vol. 14, no. 7, pp. 488–501, 2013, doi: 10.1038/nrn3524.</w:t>
      </w:r>
    </w:p>
    <w:p w14:paraId="57AA81D2"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[9]</w:t>
      </w:r>
      <w:r w:rsidRPr="004472FB">
        <w:rPr>
          <w:rFonts w:ascii="Book Antiqua" w:hAnsi="Book Antiqua" w:cs="Vrinda"/>
          <w:noProof/>
          <w:sz w:val="24"/>
          <w:szCs w:val="24"/>
        </w:rPr>
        <w:tab/>
        <w:t xml:space="preserve">M. Mofatteh, “Risk factors associated with stress, anxiety, and depression among university undergraduate students,” </w:t>
      </w:r>
      <w:r w:rsidRPr="004472FB">
        <w:rPr>
          <w:rFonts w:ascii="Book Antiqua" w:hAnsi="Book Antiqua" w:cs="Vrinda"/>
          <w:i/>
          <w:iCs/>
          <w:noProof/>
          <w:sz w:val="24"/>
          <w:szCs w:val="24"/>
        </w:rPr>
        <w:t>AIMS Public Heal.</w:t>
      </w:r>
      <w:r w:rsidRPr="004472FB">
        <w:rPr>
          <w:rFonts w:ascii="Book Antiqua" w:hAnsi="Book Antiqua" w:cs="Vrinda"/>
          <w:noProof/>
          <w:sz w:val="24"/>
          <w:szCs w:val="24"/>
        </w:rPr>
        <w:t>, vol. 8, no. 1, pp. 36–65, 2020, doi: 10.3934/publichealth.2021004.</w:t>
      </w:r>
    </w:p>
    <w:p w14:paraId="434335F2"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[10]</w:t>
      </w:r>
      <w:r w:rsidRPr="004472FB">
        <w:rPr>
          <w:rFonts w:ascii="Book Antiqua" w:hAnsi="Book Antiqua" w:cs="Vrinda"/>
          <w:noProof/>
          <w:sz w:val="24"/>
          <w:szCs w:val="24"/>
        </w:rPr>
        <w:tab/>
        <w:t xml:space="preserve">P. Soraci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“The Short Warwick-Edinburgh Mental Well-being Scale (SWEMWBS): an Italian validation using confirmatory factor analysis and Rasch analysis,” </w:t>
      </w:r>
      <w:r w:rsidRPr="004472FB">
        <w:rPr>
          <w:rFonts w:ascii="Book Antiqua" w:hAnsi="Book Antiqua" w:cs="Vrinda"/>
          <w:i/>
          <w:iCs/>
          <w:noProof/>
          <w:sz w:val="24"/>
          <w:szCs w:val="24"/>
        </w:rPr>
        <w:t>BMC Psychol.</w:t>
      </w:r>
      <w:r w:rsidRPr="004472FB">
        <w:rPr>
          <w:rFonts w:ascii="Book Antiqua" w:hAnsi="Book Antiqua" w:cs="Vrinda"/>
          <w:noProof/>
          <w:sz w:val="24"/>
          <w:szCs w:val="24"/>
        </w:rPr>
        <w:t>, vol. 12, no. 1, p. 680, 2024, doi: 10.1186/s40359-024-02177-8.</w:t>
      </w:r>
    </w:p>
    <w:p w14:paraId="04796AE5"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[11]</w:t>
      </w:r>
      <w:r w:rsidRPr="004472FB">
        <w:rPr>
          <w:rFonts w:ascii="Book Antiqua" w:hAnsi="Book Antiqua" w:cs="Vrinda"/>
          <w:noProof/>
          <w:sz w:val="24"/>
          <w:szCs w:val="24"/>
        </w:rPr>
        <w:tab/>
        <w:t xml:space="preserve">P. B. Ooi, K. S. Khor, C. C. Tan, and D. L. T. Ong, “Depression, anxiety, stress, and satisfaction with life: Moderating role of interpersonal needs among university students,” </w:t>
      </w:r>
      <w:r w:rsidRPr="004472FB">
        <w:rPr>
          <w:rFonts w:ascii="Book Antiqua" w:hAnsi="Book Antiqua" w:cs="Vrinda"/>
          <w:i/>
          <w:iCs/>
          <w:noProof/>
          <w:sz w:val="24"/>
          <w:szCs w:val="24"/>
        </w:rPr>
        <w:t>Front. Public Heal.</w:t>
      </w:r>
      <w:r w:rsidRPr="004472FB">
        <w:rPr>
          <w:rFonts w:ascii="Book Antiqua" w:hAnsi="Book Antiqua" w:cs="Vrinda"/>
          <w:noProof/>
          <w:sz w:val="24"/>
          <w:szCs w:val="24"/>
        </w:rPr>
        <w:t>, vol. 10, 2022, doi: 10.3389/fpubh.2022.958884.</w:t>
      </w:r>
    </w:p>
    <w:p w14:paraId="41068ED6"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[12]</w:t>
      </w:r>
      <w:r w:rsidRPr="004472FB">
        <w:rPr>
          <w:rFonts w:ascii="Book Antiqua" w:hAnsi="Book Antiqua" w:cs="Vrinda"/>
          <w:noProof/>
          <w:sz w:val="24"/>
          <w:szCs w:val="24"/>
        </w:rPr>
        <w:tab/>
        <w:t xml:space="preserve">B. Ye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“Social anxiety and subjective well-being among Chinese college students: A moderated mediation model,” </w:t>
      </w:r>
      <w:r w:rsidRPr="004472FB">
        <w:rPr>
          <w:rFonts w:ascii="Book Antiqua" w:hAnsi="Book Antiqua" w:cs="Vrinda"/>
          <w:i/>
          <w:iCs/>
          <w:noProof/>
          <w:sz w:val="24"/>
          <w:szCs w:val="24"/>
        </w:rPr>
        <w:t>Pers. Individ. Dif.</w:t>
      </w:r>
      <w:r w:rsidRPr="004472FB">
        <w:rPr>
          <w:rFonts w:ascii="Book Antiqua" w:hAnsi="Book Antiqua" w:cs="Vrinda"/>
          <w:noProof/>
          <w:sz w:val="24"/>
          <w:szCs w:val="24"/>
        </w:rPr>
        <w:t>, vol. 175, p. 110680, 2021, doi: 10.1016/j.paid.2021.110680.</w:t>
      </w:r>
    </w:p>
    <w:p w14:paraId="33A271B3"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[13]</w:t>
      </w:r>
      <w:r w:rsidRPr="004472FB">
        <w:rPr>
          <w:rFonts w:ascii="Book Antiqua" w:hAnsi="Book Antiqua" w:cs="Vrinda"/>
          <w:noProof/>
          <w:sz w:val="24"/>
          <w:szCs w:val="24"/>
        </w:rPr>
        <w:tab/>
        <w:t xml:space="preserve">A. P. Rahimsyah and M. Muhajirin, “Tingkat Kesejahteraan Psikologis Mahasiswa Program Studi Bimbingan dan Konseling Universitas Muhammadiyah Tasikmalaya,” </w:t>
      </w:r>
      <w:r w:rsidRPr="004472FB">
        <w:rPr>
          <w:rFonts w:ascii="Book Antiqua" w:hAnsi="Book Antiqua" w:cs="Vrinda"/>
          <w:i/>
          <w:iCs/>
          <w:noProof/>
          <w:sz w:val="24"/>
          <w:szCs w:val="24"/>
        </w:rPr>
        <w:t>Indones. J. Educ. Couns.</w:t>
      </w:r>
      <w:r w:rsidRPr="004472FB">
        <w:rPr>
          <w:rFonts w:ascii="Book Antiqua" w:hAnsi="Book Antiqua" w:cs="Vrinda"/>
          <w:noProof/>
          <w:sz w:val="24"/>
          <w:szCs w:val="24"/>
        </w:rPr>
        <w:t>, vol. 9, no. 1, pp. 85–96, 2025, doi: 10.30653/001.202041.114.</w:t>
      </w:r>
    </w:p>
    <w:p w14:paraId="79F09E37"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[14]</w:t>
      </w:r>
      <w:r w:rsidRPr="004472FB">
        <w:rPr>
          <w:rFonts w:ascii="Book Antiqua" w:hAnsi="Book Antiqua" w:cs="Vrinda"/>
          <w:noProof/>
          <w:sz w:val="24"/>
          <w:szCs w:val="24"/>
        </w:rPr>
        <w:tab/>
        <w:t xml:space="preserve">M. Muhajirin and A. P. Rahimsyah, “Analisis Profil Ketangguhan Akademik Mahasiswa Universitas Muhammadiyah Tasikmalaya,” </w:t>
      </w:r>
      <w:r w:rsidRPr="004472FB">
        <w:rPr>
          <w:rFonts w:ascii="Book Antiqua" w:hAnsi="Book Antiqua" w:cs="Vrinda"/>
          <w:i/>
          <w:iCs/>
          <w:noProof/>
          <w:sz w:val="24"/>
          <w:szCs w:val="24"/>
        </w:rPr>
        <w:t>Indones. J. Educ. Couns.</w:t>
      </w:r>
      <w:r w:rsidRPr="004472FB">
        <w:rPr>
          <w:rFonts w:ascii="Book Antiqua" w:hAnsi="Book Antiqua" w:cs="Vrinda"/>
          <w:noProof/>
          <w:sz w:val="24"/>
          <w:szCs w:val="24"/>
        </w:rPr>
        <w:t>, vol. 9, no. 1, pp. 97–102, 2025, doi: 10.30653/001.202041.114.</w:t>
      </w:r>
    </w:p>
    <w:p w14:paraId="1EF29B0B"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[15]</w:t>
      </w:r>
      <w:r w:rsidRPr="004472FB">
        <w:rPr>
          <w:rFonts w:ascii="Book Antiqua" w:hAnsi="Book Antiqua" w:cs="Vrinda"/>
          <w:noProof/>
          <w:sz w:val="24"/>
          <w:szCs w:val="24"/>
        </w:rPr>
        <w:tab/>
        <w:t xml:space="preserve">S. Stewart-Brown, A. Tennant, R. Tennant, S. Platt, J. Parkinson, and S. Weich, “Internal construct validity of the Warwick-Edinburgh Mental Well-Being Scale (WEMWBS): A Rasch analysis using data from the Scottish Health Education Population Survey,” </w:t>
      </w:r>
      <w:r w:rsidRPr="004472FB">
        <w:rPr>
          <w:rFonts w:ascii="Book Antiqua" w:hAnsi="Book Antiqua" w:cs="Vrinda"/>
          <w:i/>
          <w:iCs/>
          <w:noProof/>
          <w:sz w:val="24"/>
          <w:szCs w:val="24"/>
        </w:rPr>
        <w:t>Health Qual. Life Outcomes</w:t>
      </w:r>
      <w:r w:rsidRPr="004472FB">
        <w:rPr>
          <w:rFonts w:ascii="Book Antiqua" w:hAnsi="Book Antiqua" w:cs="Vrinda"/>
          <w:noProof/>
          <w:sz w:val="24"/>
          <w:szCs w:val="24"/>
        </w:rPr>
        <w:t>, vol. 7, no. 1, p. 15, 2009, doi: 10.1186/1477-7525-7-15.</w:t>
      </w:r>
    </w:p>
    <w:p w14:paraId="5C32C099"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[16]</w:t>
      </w:r>
      <w:r w:rsidRPr="004472FB">
        <w:rPr>
          <w:rFonts w:ascii="Book Antiqua" w:hAnsi="Book Antiqua" w:cs="Vrinda"/>
          <w:noProof/>
          <w:sz w:val="24"/>
          <w:szCs w:val="24"/>
        </w:rPr>
        <w:tab/>
        <w:t xml:space="preserve">M. L. Lupano Perugini, G. de la Iglesia, A. Castro Solano, and C. L. M. Keyes, “The mental health continuum–short form (MHC–SF) in the argentinean context: Confirmatory factor analysis and measurement invariance,” </w:t>
      </w:r>
      <w:r w:rsidRPr="004472FB">
        <w:rPr>
          <w:rFonts w:ascii="Book Antiqua" w:hAnsi="Book Antiqua" w:cs="Vrinda"/>
          <w:i/>
          <w:iCs/>
          <w:noProof/>
          <w:sz w:val="24"/>
          <w:szCs w:val="24"/>
        </w:rPr>
        <w:t>Eur. J. Psychol.</w:t>
      </w:r>
      <w:r w:rsidRPr="004472FB">
        <w:rPr>
          <w:rFonts w:ascii="Book Antiqua" w:hAnsi="Book Antiqua" w:cs="Vrinda"/>
          <w:noProof/>
          <w:sz w:val="24"/>
          <w:szCs w:val="24"/>
        </w:rPr>
        <w:t>, vol. 13, no. 1, pp. 93–108, 2017, doi: 10.5964/ejop.v13i1.1163.</w:t>
      </w:r>
    </w:p>
    <w:p w14:paraId="221391FD"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[17]</w:t>
      </w:r>
      <w:r w:rsidRPr="004472FB">
        <w:rPr>
          <w:rFonts w:ascii="Book Antiqua" w:hAnsi="Book Antiqua" w:cs="Vrinda"/>
          <w:noProof/>
          <w:sz w:val="24"/>
          <w:szCs w:val="24"/>
        </w:rPr>
        <w:tab/>
        <w:t xml:space="preserve">R. Tennant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“The Warwick-Dinburgh mental well-being scale (WEMWBS): Development and UK validation,” </w:t>
      </w:r>
      <w:r w:rsidRPr="004472FB">
        <w:rPr>
          <w:rFonts w:ascii="Book Antiqua" w:hAnsi="Book Antiqua" w:cs="Vrinda"/>
          <w:i/>
          <w:iCs/>
          <w:noProof/>
          <w:sz w:val="24"/>
          <w:szCs w:val="24"/>
        </w:rPr>
        <w:t>Health Qual. Life Outcomes</w:t>
      </w:r>
      <w:r w:rsidRPr="004472FB">
        <w:rPr>
          <w:rFonts w:ascii="Book Antiqua" w:hAnsi="Book Antiqua" w:cs="Vrinda"/>
          <w:noProof/>
          <w:sz w:val="24"/>
          <w:szCs w:val="24"/>
        </w:rPr>
        <w:t>, vol. 5, no. 1, p. 63, 2007, doi: 10.1186/1477-7525-5-63.</w:t>
      </w:r>
    </w:p>
    <w:p w14:paraId="63D459AB"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[18]</w:t>
      </w:r>
      <w:r w:rsidRPr="004472FB">
        <w:rPr>
          <w:rFonts w:ascii="Book Antiqua" w:hAnsi="Book Antiqua" w:cs="Vrinda"/>
          <w:noProof/>
          <w:sz w:val="24"/>
          <w:szCs w:val="24"/>
        </w:rPr>
        <w:tab/>
        <w:t xml:space="preserve">A. P. Rahimsyah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“Understanding Mental Well-Being Among University Students in Indonesia: A Descriptive Quantitative Analysis,” </w:t>
      </w:r>
      <w:r w:rsidRPr="004472FB">
        <w:rPr>
          <w:rFonts w:ascii="Book Antiqua" w:hAnsi="Book Antiqua" w:cs="Vrinda"/>
          <w:i/>
          <w:iCs/>
          <w:noProof/>
          <w:sz w:val="24"/>
          <w:szCs w:val="24"/>
        </w:rPr>
        <w:t>J. Eval. Educ.</w:t>
      </w:r>
      <w:r w:rsidRPr="004472FB">
        <w:rPr>
          <w:rFonts w:ascii="Book Antiqua" w:hAnsi="Book Antiqua" w:cs="Vrinda"/>
          <w:noProof/>
          <w:sz w:val="24"/>
          <w:szCs w:val="24"/>
        </w:rPr>
        <w:t>, vol. 7, no. 1, pp. 316–323, 2026, doi: 10.37251/jee.v7i1.2432.</w:t>
      </w:r>
    </w:p>
    <w:p w14:paraId="6480EF41"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[19]</w:t>
      </w:r>
      <w:r w:rsidRPr="004472FB">
        <w:rPr>
          <w:rFonts w:ascii="Book Antiqua" w:hAnsi="Book Antiqua" w:cs="Vrinda"/>
          <w:noProof/>
          <w:sz w:val="24"/>
          <w:szCs w:val="24"/>
        </w:rPr>
        <w:tab/>
        <w:t xml:space="preserve">Z. F. Gumbatova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“The relationship between the quality of life of medical students and their academic performance,” </w:t>
      </w:r>
      <w:r w:rsidRPr="004472FB">
        <w:rPr>
          <w:rFonts w:ascii="Book Antiqua" w:hAnsi="Book Antiqua" w:cs="Vrinda"/>
          <w:i/>
          <w:iCs/>
          <w:noProof/>
          <w:sz w:val="24"/>
          <w:szCs w:val="24"/>
        </w:rPr>
        <w:t>Hyg. Child. Adolesc.</w:t>
      </w:r>
      <w:r w:rsidRPr="004472FB">
        <w:rPr>
          <w:rFonts w:ascii="Book Antiqua" w:hAnsi="Book Antiqua" w:cs="Vrinda"/>
          <w:noProof/>
          <w:sz w:val="24"/>
          <w:szCs w:val="24"/>
        </w:rPr>
        <w:t>, vol. 101, no. 1, pp. 77–82, 2022, doi: 10.47470/0016-9900-2022-101-1-77-82.</w:t>
      </w:r>
    </w:p>
    <w:p w14:paraId="41676D4D"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lastRenderedPageBreak/>
        <w:t>[20]</w:t>
      </w:r>
      <w:r w:rsidRPr="004472FB">
        <w:rPr>
          <w:rFonts w:ascii="Book Antiqua" w:hAnsi="Book Antiqua" w:cs="Vrinda"/>
          <w:noProof/>
          <w:sz w:val="24"/>
          <w:szCs w:val="24"/>
        </w:rPr>
        <w:tab/>
        <w:t xml:space="preserve">I. Setiawan, N. S., &amp; Setiawan, “Mengenal pentingnya kesehatan mental: Dampak bunuh diri dan gejala gangguan kesehatan mental,” </w:t>
      </w:r>
      <w:r w:rsidRPr="004472FB">
        <w:rPr>
          <w:rFonts w:ascii="Book Antiqua" w:hAnsi="Book Antiqua" w:cs="Vrinda"/>
          <w:i/>
          <w:iCs/>
          <w:noProof/>
          <w:sz w:val="24"/>
          <w:szCs w:val="24"/>
        </w:rPr>
        <w:t>J. Mhs. BK An-Nur Berbeda, Bermakna, Mulia</w:t>
      </w:r>
      <w:r w:rsidRPr="004472FB">
        <w:rPr>
          <w:rFonts w:ascii="Book Antiqua" w:hAnsi="Book Antiqua" w:cs="Vrinda"/>
          <w:noProof/>
          <w:sz w:val="24"/>
          <w:szCs w:val="24"/>
        </w:rPr>
        <w:t>, vol. 10, no. 1, pp. 266–275, 2024, doi: 10.31602/jmbkan.v10i1.13505.</w:t>
      </w:r>
    </w:p>
    <w:p w14:paraId="37D8F0E6"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[21]</w:t>
      </w:r>
      <w:r w:rsidRPr="004472FB">
        <w:rPr>
          <w:rFonts w:ascii="Book Antiqua" w:hAnsi="Book Antiqua" w:cs="Vrinda"/>
          <w:noProof/>
          <w:sz w:val="24"/>
          <w:szCs w:val="24"/>
        </w:rPr>
        <w:tab/>
        <w:t xml:space="preserve">Y. Zhu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“Mental well-being of college students: focus on sex differences and psycho physiological indices,” </w:t>
      </w:r>
      <w:r w:rsidRPr="004472FB">
        <w:rPr>
          <w:rFonts w:ascii="Book Antiqua" w:hAnsi="Book Antiqua" w:cs="Vrinda"/>
          <w:i/>
          <w:iCs/>
          <w:noProof/>
          <w:sz w:val="24"/>
          <w:szCs w:val="24"/>
        </w:rPr>
        <w:t>BMC Public Health</w:t>
      </w:r>
      <w:r w:rsidRPr="004472FB">
        <w:rPr>
          <w:rFonts w:ascii="Book Antiqua" w:hAnsi="Book Antiqua" w:cs="Vrinda"/>
          <w:noProof/>
          <w:sz w:val="24"/>
          <w:szCs w:val="24"/>
        </w:rPr>
        <w:t>, vol. 25, no. 1, p. 3038, 2025, doi: 10.1186/s12889-025-24231-9.</w:t>
      </w:r>
    </w:p>
    <w:p w14:paraId="189E7DCD"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[22]</w:t>
      </w:r>
      <w:r w:rsidRPr="004472FB">
        <w:rPr>
          <w:rFonts w:ascii="Book Antiqua" w:hAnsi="Book Antiqua" w:cs="Vrinda"/>
          <w:noProof/>
          <w:sz w:val="24"/>
          <w:szCs w:val="24"/>
        </w:rPr>
        <w:tab/>
        <w:t xml:space="preserve">S. Nepal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“MindScape Study: Integrating LLM and Behavioral Sensing for Personalized AI-Driven Journaling Experiences,” </w:t>
      </w:r>
      <w:r w:rsidRPr="004472FB">
        <w:rPr>
          <w:rFonts w:ascii="Book Antiqua" w:hAnsi="Book Antiqua" w:cs="Vrinda"/>
          <w:i/>
          <w:iCs/>
          <w:noProof/>
          <w:sz w:val="24"/>
          <w:szCs w:val="24"/>
        </w:rPr>
        <w:t>Proc. ACM Interactive, Mobile, Wearable Ubiquitous Technol.</w:t>
      </w:r>
      <w:r w:rsidRPr="004472FB">
        <w:rPr>
          <w:rFonts w:ascii="Book Antiqua" w:hAnsi="Book Antiqua" w:cs="Vrinda"/>
          <w:noProof/>
          <w:sz w:val="24"/>
          <w:szCs w:val="24"/>
        </w:rPr>
        <w:t>, vol. 8, no. 4, pp. 1–44, 2024, doi: 10.1145/3699761.</w:t>
      </w:r>
    </w:p>
    <w:p w14:paraId="134CD793"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[23]</w:t>
      </w:r>
      <w:r w:rsidRPr="004472FB">
        <w:rPr>
          <w:rFonts w:ascii="Book Antiqua" w:hAnsi="Book Antiqua" w:cs="Vrinda"/>
          <w:noProof/>
          <w:sz w:val="24"/>
          <w:szCs w:val="24"/>
        </w:rPr>
        <w:tab/>
        <w:t xml:space="preserve">W. H. Organization, </w:t>
      </w:r>
      <w:r w:rsidRPr="004472FB">
        <w:rPr>
          <w:rFonts w:ascii="Book Antiqua" w:hAnsi="Book Antiqua" w:cs="Vrinda"/>
          <w:i/>
          <w:iCs/>
          <w:noProof/>
          <w:sz w:val="24"/>
          <w:szCs w:val="24"/>
        </w:rPr>
        <w:t>World Mental Health Today</w:t>
      </w:r>
      <w:r w:rsidRPr="004472FB">
        <w:rPr>
          <w:rFonts w:ascii="Book Antiqua" w:hAnsi="Book Antiqua" w:cs="Vrinda"/>
          <w:noProof/>
          <w:sz w:val="24"/>
          <w:szCs w:val="24"/>
        </w:rPr>
        <w:t>. 2025. [Online]. Available: https://iris.who.int/</w:t>
      </w:r>
    </w:p>
    <w:p w14:paraId="05F6DB6D"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[24]</w:t>
      </w:r>
      <w:r w:rsidRPr="004472FB">
        <w:rPr>
          <w:rFonts w:ascii="Book Antiqua" w:hAnsi="Book Antiqua" w:cs="Vrinda"/>
          <w:noProof/>
          <w:sz w:val="24"/>
          <w:szCs w:val="24"/>
        </w:rPr>
        <w:tab/>
        <w:t xml:space="preserve">A. Duffy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“Predictors of mental health and academic outcomes in first-year university students: Identifying prevention and early-intervention targets,” </w:t>
      </w:r>
      <w:r w:rsidRPr="004472FB">
        <w:rPr>
          <w:rFonts w:ascii="Book Antiqua" w:hAnsi="Book Antiqua" w:cs="Vrinda"/>
          <w:i/>
          <w:iCs/>
          <w:noProof/>
          <w:sz w:val="24"/>
          <w:szCs w:val="24"/>
        </w:rPr>
        <w:t>BJPsych Open</w:t>
      </w:r>
      <w:r w:rsidRPr="004472FB">
        <w:rPr>
          <w:rFonts w:ascii="Book Antiqua" w:hAnsi="Book Antiqua" w:cs="Vrinda"/>
          <w:noProof/>
          <w:sz w:val="24"/>
          <w:szCs w:val="24"/>
        </w:rPr>
        <w:t>, vol. 6, no. 3, pp. 1–8, 2020, doi: 10.1192/bjo.2020.24.</w:t>
      </w:r>
    </w:p>
    <w:p w14:paraId="6A4CA0D6"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[25]</w:t>
      </w:r>
      <w:r w:rsidRPr="004472FB">
        <w:rPr>
          <w:rFonts w:ascii="Book Antiqua" w:hAnsi="Book Antiqua" w:cs="Vrinda"/>
          <w:noProof/>
          <w:sz w:val="24"/>
          <w:szCs w:val="24"/>
        </w:rPr>
        <w:tab/>
        <w:t xml:space="preserve">U. Haruna, A. R. Mohammed, and M. Braimah, “Understanding the burden of depression, anxiety and stress among first-year undergraduate students,” </w:t>
      </w:r>
      <w:r w:rsidRPr="004472FB">
        <w:rPr>
          <w:rFonts w:ascii="Book Antiqua" w:hAnsi="Book Antiqua" w:cs="Vrinda"/>
          <w:i/>
          <w:iCs/>
          <w:noProof/>
          <w:sz w:val="24"/>
          <w:szCs w:val="24"/>
        </w:rPr>
        <w:t>BMC Psychiatry</w:t>
      </w:r>
      <w:r w:rsidRPr="004472FB">
        <w:rPr>
          <w:rFonts w:ascii="Book Antiqua" w:hAnsi="Book Antiqua" w:cs="Vrinda"/>
          <w:noProof/>
          <w:sz w:val="24"/>
          <w:szCs w:val="24"/>
        </w:rPr>
        <w:t>, vol. 25, no. 1, 2025, doi: 10.1186/s12888-025-07069-8.</w:t>
      </w:r>
    </w:p>
    <w:p w14:paraId="18C33372"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[26]</w:t>
      </w:r>
      <w:r w:rsidRPr="004472FB">
        <w:rPr>
          <w:rFonts w:ascii="Book Antiqua" w:hAnsi="Book Antiqua" w:cs="Vrinda"/>
          <w:noProof/>
          <w:sz w:val="24"/>
          <w:szCs w:val="24"/>
        </w:rPr>
        <w:tab/>
        <w:t xml:space="preserve">Sugiyono, </w:t>
      </w:r>
      <w:r w:rsidRPr="004472FB">
        <w:rPr>
          <w:rFonts w:ascii="Book Antiqua" w:hAnsi="Book Antiqua" w:cs="Vrinda"/>
          <w:i/>
          <w:iCs/>
          <w:noProof/>
          <w:sz w:val="24"/>
          <w:szCs w:val="24"/>
        </w:rPr>
        <w:t>Metode Penelitian Kuantitatif, Kualitatif, dan R&amp;D</w:t>
      </w:r>
      <w:r w:rsidRPr="004472FB">
        <w:rPr>
          <w:rFonts w:ascii="Book Antiqua" w:hAnsi="Book Antiqua" w:cs="Vrinda"/>
          <w:noProof/>
          <w:sz w:val="24"/>
          <w:szCs w:val="24"/>
        </w:rPr>
        <w:t>. Bandung: Alfabeta, 2023.</w:t>
      </w:r>
    </w:p>
    <w:p w14:paraId="13996001"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[27]</w:t>
      </w:r>
      <w:r w:rsidRPr="004472FB">
        <w:rPr>
          <w:rFonts w:ascii="Book Antiqua" w:hAnsi="Book Antiqua" w:cs="Vrinda"/>
          <w:noProof/>
          <w:sz w:val="24"/>
          <w:szCs w:val="24"/>
        </w:rPr>
        <w:tab/>
        <w:t xml:space="preserve">D. Priadana, M. S., &amp; Sunarsi, </w:t>
      </w:r>
      <w:r w:rsidRPr="004472FB">
        <w:rPr>
          <w:rFonts w:ascii="Book Antiqua" w:hAnsi="Book Antiqua" w:cs="Vrinda"/>
          <w:i/>
          <w:iCs/>
          <w:noProof/>
          <w:sz w:val="24"/>
          <w:szCs w:val="24"/>
        </w:rPr>
        <w:t>Metode Penelitian Kuantitatif.</w:t>
      </w:r>
      <w:r w:rsidRPr="004472FB">
        <w:rPr>
          <w:rFonts w:ascii="Book Antiqua" w:hAnsi="Book Antiqua" w:cs="Vrinda"/>
          <w:noProof/>
          <w:sz w:val="24"/>
          <w:szCs w:val="24"/>
        </w:rPr>
        <w:t xml:space="preserve"> Tanggerang: Pascal Books., 2021.</w:t>
      </w:r>
    </w:p>
    <w:p w14:paraId="7E04B3B1"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[28]</w:t>
      </w:r>
      <w:r w:rsidRPr="004472FB">
        <w:rPr>
          <w:rFonts w:ascii="Book Antiqua" w:hAnsi="Book Antiqua" w:cs="Vrinda"/>
          <w:noProof/>
          <w:sz w:val="24"/>
          <w:szCs w:val="24"/>
        </w:rPr>
        <w:tab/>
        <w:t xml:space="preserve">J. W. Santrock, </w:t>
      </w:r>
      <w:r w:rsidRPr="004472FB">
        <w:rPr>
          <w:rFonts w:ascii="Book Antiqua" w:hAnsi="Book Antiqua" w:cs="Vrinda"/>
          <w:i/>
          <w:iCs/>
          <w:noProof/>
          <w:sz w:val="24"/>
          <w:szCs w:val="24"/>
        </w:rPr>
        <w:t>Life-span development (13th ed.)</w:t>
      </w:r>
      <w:r w:rsidRPr="004472FB">
        <w:rPr>
          <w:rFonts w:ascii="Book Antiqua" w:hAnsi="Book Antiqua" w:cs="Vrinda"/>
          <w:noProof/>
          <w:sz w:val="24"/>
          <w:szCs w:val="24"/>
        </w:rPr>
        <w:t>. McGraw-Hill., 2011.</w:t>
      </w:r>
    </w:p>
    <w:p w14:paraId="156E8963"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[29]</w:t>
      </w:r>
      <w:r w:rsidRPr="004472FB">
        <w:rPr>
          <w:rFonts w:ascii="Book Antiqua" w:hAnsi="Book Antiqua" w:cs="Vrinda"/>
          <w:noProof/>
          <w:sz w:val="24"/>
          <w:szCs w:val="24"/>
        </w:rPr>
        <w:tab/>
        <w:t xml:space="preserve">T. Aprilya, G. S. Sugara, and A. P. Rahimsyah, “Wounded Inner Child Experiences and Mental Well-Being Among University Students: A Correlational Study,” </w:t>
      </w:r>
      <w:r w:rsidRPr="004472FB">
        <w:rPr>
          <w:rFonts w:ascii="Book Antiqua" w:hAnsi="Book Antiqua" w:cs="Vrinda"/>
          <w:i/>
          <w:iCs/>
          <w:noProof/>
          <w:sz w:val="24"/>
          <w:szCs w:val="24"/>
        </w:rPr>
        <w:t>J. Ment. Heal. Well-Being Couns.</w:t>
      </w:r>
      <w:r w:rsidRPr="004472FB">
        <w:rPr>
          <w:rFonts w:ascii="Book Antiqua" w:hAnsi="Book Antiqua" w:cs="Vrinda"/>
          <w:noProof/>
          <w:sz w:val="24"/>
          <w:szCs w:val="24"/>
        </w:rPr>
        <w:t>, vol. 2, no. 1, pp. 11–21, 2026, doi: 10.65067/essgpd25.</w:t>
      </w:r>
    </w:p>
    <w:p w14:paraId="4C9946A6"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[30]</w:t>
      </w:r>
      <w:r w:rsidRPr="004472FB">
        <w:rPr>
          <w:rFonts w:ascii="Book Antiqua" w:hAnsi="Book Antiqua" w:cs="Vrinda"/>
          <w:noProof/>
          <w:sz w:val="24"/>
          <w:szCs w:val="24"/>
        </w:rPr>
        <w:tab/>
        <w:t xml:space="preserve">I. Ifdil </w:t>
      </w:r>
      <w:r w:rsidRPr="004472FB">
        <w:rPr>
          <w:rFonts w:ascii="Book Antiqua" w:hAnsi="Book Antiqua" w:cs="Vrinda"/>
          <w:i/>
          <w:iCs/>
          <w:noProof/>
          <w:sz w:val="24"/>
          <w:szCs w:val="24"/>
        </w:rPr>
        <w:t>et al.</w:t>
      </w:r>
      <w:r w:rsidRPr="004472FB">
        <w:rPr>
          <w:rFonts w:ascii="Book Antiqua" w:hAnsi="Book Antiqua" w:cs="Vrinda"/>
          <w:noProof/>
          <w:sz w:val="24"/>
          <w:szCs w:val="24"/>
        </w:rPr>
        <w:t xml:space="preserve">, “The depression anxiety stress scales (DASS-21): an Indonesian validation measure of the depression anxiety stress,” </w:t>
      </w:r>
      <w:r w:rsidRPr="004472FB">
        <w:rPr>
          <w:rFonts w:ascii="Book Antiqua" w:hAnsi="Book Antiqua" w:cs="Vrinda"/>
          <w:i/>
          <w:iCs/>
          <w:noProof/>
          <w:sz w:val="24"/>
          <w:szCs w:val="24"/>
        </w:rPr>
        <w:t>COUNS-EDU Int. J. Couns. Educ.</w:t>
      </w:r>
      <w:r w:rsidRPr="004472FB">
        <w:rPr>
          <w:rFonts w:ascii="Book Antiqua" w:hAnsi="Book Antiqua" w:cs="Vrinda"/>
          <w:noProof/>
          <w:sz w:val="24"/>
          <w:szCs w:val="24"/>
        </w:rPr>
        <w:t>, vol. 5, no. 4, pp. 205–215, 2020, doi: 10.23916/0020200536840.</w:t>
      </w:r>
    </w:p>
    <w:p w14:paraId="2F38242D"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[31]</w:t>
      </w:r>
      <w:r w:rsidRPr="004472FB">
        <w:rPr>
          <w:rFonts w:ascii="Book Antiqua" w:hAnsi="Book Antiqua" w:cs="Vrinda"/>
          <w:noProof/>
          <w:sz w:val="24"/>
          <w:szCs w:val="24"/>
        </w:rPr>
        <w:tab/>
        <w:t xml:space="preserve">S. H. Lovibond, P. F., &amp; Lovibond, “The structure of negative emotional states: Comparison of the Depression Anxiety Stress Scales (DASS) with the Beck Depression and Anxiety Inventories.,” </w:t>
      </w:r>
      <w:r w:rsidRPr="004472FB">
        <w:rPr>
          <w:rFonts w:ascii="Book Antiqua" w:hAnsi="Book Antiqua" w:cs="Vrinda"/>
          <w:i/>
          <w:iCs/>
          <w:noProof/>
          <w:sz w:val="24"/>
          <w:szCs w:val="24"/>
        </w:rPr>
        <w:t>Behav. Res. Ther.</w:t>
      </w:r>
      <w:r w:rsidRPr="004472FB">
        <w:rPr>
          <w:rFonts w:ascii="Book Antiqua" w:hAnsi="Book Antiqua" w:cs="Vrinda"/>
          <w:noProof/>
          <w:sz w:val="24"/>
          <w:szCs w:val="24"/>
        </w:rPr>
        <w:t>, vol. 33, no. 3, pp. 335–343, 1995, doi: 10.1016/0005-7967(94)00075-U.</w:t>
      </w:r>
    </w:p>
    <w:p w14:paraId="17D08BF8"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[32]</w:t>
      </w:r>
      <w:r w:rsidRPr="004472FB">
        <w:rPr>
          <w:rFonts w:ascii="Book Antiqua" w:hAnsi="Book Antiqua" w:cs="Vrinda"/>
          <w:noProof/>
          <w:sz w:val="24"/>
          <w:szCs w:val="24"/>
        </w:rPr>
        <w:tab/>
        <w:t xml:space="preserve">W. D. Putri, A. M., Hardiyanti, N. Z., &amp; Larasati, “Hubungan Antara Self Efficacy Dengan Kecemasan Pada Mahasiswa Baru,” </w:t>
      </w:r>
      <w:r w:rsidRPr="004472FB">
        <w:rPr>
          <w:rFonts w:ascii="Book Antiqua" w:hAnsi="Book Antiqua" w:cs="Vrinda"/>
          <w:i/>
          <w:iCs/>
          <w:noProof/>
          <w:sz w:val="24"/>
          <w:szCs w:val="24"/>
        </w:rPr>
        <w:t>Exp. J. Psikol. Indones.</w:t>
      </w:r>
      <w:r w:rsidRPr="004472FB">
        <w:rPr>
          <w:rFonts w:ascii="Book Antiqua" w:hAnsi="Book Antiqua" w:cs="Vrinda"/>
          <w:noProof/>
          <w:sz w:val="24"/>
          <w:szCs w:val="24"/>
        </w:rPr>
        <w:t>, vol. 13, no. 1, pp. 95–109, 2025, doi: 10.33508/exp.v13i1.6027.</w:t>
      </w:r>
    </w:p>
    <w:p w14:paraId="369676B8"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[33]</w:t>
      </w:r>
      <w:r w:rsidRPr="004472FB">
        <w:rPr>
          <w:rFonts w:ascii="Book Antiqua" w:hAnsi="Book Antiqua" w:cs="Vrinda"/>
          <w:noProof/>
          <w:sz w:val="24"/>
          <w:szCs w:val="24"/>
        </w:rPr>
        <w:tab/>
        <w:t xml:space="preserve">K. A. F. Rabbani, M. Kusmiati, and ..., “Gambaran Tingkat Kesejahteraan pada Mahasiswa Angkatan 2022 Fakultas Kedokteran Unisba.,” </w:t>
      </w:r>
      <w:r w:rsidRPr="004472FB">
        <w:rPr>
          <w:rFonts w:ascii="Book Antiqua" w:hAnsi="Book Antiqua" w:cs="Vrinda"/>
          <w:i/>
          <w:iCs/>
          <w:noProof/>
          <w:sz w:val="24"/>
          <w:szCs w:val="24"/>
        </w:rPr>
        <w:t>Bandung Conf. …</w:t>
      </w:r>
      <w:r w:rsidRPr="004472FB">
        <w:rPr>
          <w:rFonts w:ascii="Book Antiqua" w:hAnsi="Book Antiqua" w:cs="Vrinda"/>
          <w:noProof/>
          <w:sz w:val="24"/>
          <w:szCs w:val="24"/>
        </w:rPr>
        <w:t>, vol. 6, no. 1, pp. 165–172, 2026, doi: 10.29313/bcsms.v6i1.22103.</w:t>
      </w:r>
    </w:p>
    <w:p w14:paraId="45555194"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[34]</w:t>
      </w:r>
      <w:r w:rsidRPr="004472FB">
        <w:rPr>
          <w:rFonts w:ascii="Book Antiqua" w:hAnsi="Book Antiqua" w:cs="Vrinda"/>
          <w:noProof/>
          <w:sz w:val="24"/>
          <w:szCs w:val="24"/>
        </w:rPr>
        <w:tab/>
        <w:t xml:space="preserve">Farida Aryani, Sella Mewarni, Muhammad Rais, and Muhammad Rafli, “Optimalisasi Layanan Kesehatan Mental Di Kalangan MahasiswaMelalui Pengembangan Model Konseling Online,” </w:t>
      </w:r>
      <w:r w:rsidRPr="004472FB">
        <w:rPr>
          <w:rFonts w:ascii="Book Antiqua" w:hAnsi="Book Antiqua" w:cs="Vrinda"/>
          <w:i/>
          <w:iCs/>
          <w:noProof/>
          <w:sz w:val="24"/>
          <w:szCs w:val="24"/>
        </w:rPr>
        <w:t>Semin. Nas. LP2M UNM</w:t>
      </w:r>
      <w:r w:rsidRPr="004472FB">
        <w:rPr>
          <w:rFonts w:ascii="Book Antiqua" w:hAnsi="Book Antiqua" w:cs="Vrinda"/>
          <w:noProof/>
          <w:sz w:val="24"/>
          <w:szCs w:val="24"/>
        </w:rPr>
        <w:t xml:space="preserve">, vol. 1, no. </w:t>
      </w:r>
      <w:r w:rsidRPr="004472FB">
        <w:rPr>
          <w:rFonts w:ascii="Book Antiqua" w:hAnsi="Book Antiqua" w:cs="Vrinda"/>
          <w:noProof/>
          <w:sz w:val="24"/>
          <w:szCs w:val="24"/>
        </w:rPr>
        <w:lastRenderedPageBreak/>
        <w:t>11, pp. 1510–1518, 2024, [Online]. Available: https://ojs.unm.ac.id/semnaslemlit/index</w:t>
      </w:r>
    </w:p>
    <w:p w14:paraId="75276158" w14:textId="77777777" w:rsidR="00E823BE" w:rsidRPr="004472FB" w:rsidRDefault="00E823BE" w:rsidP="004472FB">
      <w:pPr>
        <w:widowControl w:val="0"/>
        <w:autoSpaceDE w:val="0"/>
        <w:autoSpaceDN w:val="0"/>
        <w:adjustRightInd w:val="0"/>
        <w:ind w:left="640" w:hanging="640"/>
        <w:jc w:val="both"/>
        <w:rPr>
          <w:rFonts w:ascii="Book Antiqua" w:hAnsi="Book Antiqua" w:cs="Vrinda"/>
          <w:noProof/>
          <w:sz w:val="24"/>
          <w:szCs w:val="24"/>
        </w:rPr>
      </w:pPr>
      <w:r w:rsidRPr="004472FB">
        <w:rPr>
          <w:rFonts w:ascii="Book Antiqua" w:hAnsi="Book Antiqua" w:cs="Vrinda"/>
          <w:noProof/>
          <w:sz w:val="24"/>
          <w:szCs w:val="24"/>
        </w:rPr>
        <w:t>[35]</w:t>
      </w:r>
      <w:r w:rsidRPr="004472FB">
        <w:rPr>
          <w:rFonts w:ascii="Book Antiqua" w:hAnsi="Book Antiqua" w:cs="Vrinda"/>
          <w:noProof/>
          <w:sz w:val="24"/>
          <w:szCs w:val="24"/>
        </w:rPr>
        <w:tab/>
        <w:t xml:space="preserve">C. D. Ryff, “Happiness is everything, or is it? Explorations on the meaning of psychological well-being.,” </w:t>
      </w:r>
      <w:r w:rsidRPr="004472FB">
        <w:rPr>
          <w:rFonts w:ascii="Book Antiqua" w:hAnsi="Book Antiqua" w:cs="Vrinda"/>
          <w:i/>
          <w:iCs/>
          <w:noProof/>
          <w:sz w:val="24"/>
          <w:szCs w:val="24"/>
        </w:rPr>
        <w:t>J. Pers. Soc. Psychol.</w:t>
      </w:r>
      <w:r w:rsidRPr="004472FB">
        <w:rPr>
          <w:rFonts w:ascii="Book Antiqua" w:hAnsi="Book Antiqua" w:cs="Vrinda"/>
          <w:noProof/>
          <w:sz w:val="24"/>
          <w:szCs w:val="24"/>
        </w:rPr>
        <w:t>, vol. 57, no. 6, pp. 1069–1081, 1989, doi: 10.1037/0022-3514.57.6.1069.</w:t>
      </w:r>
    </w:p>
    <w:p w14:paraId="02CE7139" w14:textId="77777777" w:rsidR="00E823BE" w:rsidRPr="004472FB" w:rsidRDefault="00E823BE" w:rsidP="004472FB">
      <w:pPr>
        <w:widowControl w:val="0"/>
        <w:autoSpaceDE w:val="0"/>
        <w:autoSpaceDN w:val="0"/>
        <w:adjustRightInd w:val="0"/>
        <w:ind w:left="640" w:hanging="640"/>
        <w:jc w:val="both"/>
        <w:rPr>
          <w:rFonts w:ascii="Book Antiqua" w:hAnsi="Book Antiqua"/>
          <w:noProof/>
          <w:sz w:val="24"/>
          <w:szCs w:val="24"/>
        </w:rPr>
      </w:pPr>
      <w:r w:rsidRPr="004472FB">
        <w:rPr>
          <w:rFonts w:ascii="Book Antiqua" w:hAnsi="Book Antiqua" w:cs="Vrinda"/>
          <w:noProof/>
          <w:sz w:val="24"/>
          <w:szCs w:val="24"/>
        </w:rPr>
        <w:t>[36]</w:t>
      </w:r>
      <w:r w:rsidRPr="004472FB">
        <w:rPr>
          <w:rFonts w:ascii="Book Antiqua" w:hAnsi="Book Antiqua" w:cs="Vrinda"/>
          <w:noProof/>
          <w:sz w:val="24"/>
          <w:szCs w:val="24"/>
        </w:rPr>
        <w:tab/>
        <w:t xml:space="preserve">R. Refnandes, F. Yeni, and F. Afdila, “Stres dan Kesejahteraan Psikologis Mahasiswa Baru Keperawatan Stress and Psychological Well-Being of New Nursing Students,” </w:t>
      </w:r>
      <w:r w:rsidRPr="004472FB">
        <w:rPr>
          <w:rFonts w:ascii="Book Antiqua" w:hAnsi="Book Antiqua" w:cs="Vrinda"/>
          <w:i/>
          <w:iCs/>
          <w:noProof/>
          <w:sz w:val="24"/>
          <w:szCs w:val="24"/>
        </w:rPr>
        <w:t>Jiik J. Ilmu Kesehat.</w:t>
      </w:r>
      <w:r w:rsidRPr="004472FB">
        <w:rPr>
          <w:rFonts w:ascii="Book Antiqua" w:hAnsi="Book Antiqua" w:cs="Vrinda"/>
          <w:noProof/>
          <w:sz w:val="24"/>
          <w:szCs w:val="24"/>
        </w:rPr>
        <w:t>, vol. 8, no. 2, pp. 314–320, 2024, [Online]. Available: http://jik.stikesalifah.ac.id/index.php/jurnalkes/article/view/1166</w:t>
      </w:r>
    </w:p>
    <w:p w14:paraId="735FBAB9" w14:textId="67C4E0FD" w:rsidR="00972720" w:rsidRPr="004472FB" w:rsidRDefault="008F614F" w:rsidP="004472FB">
      <w:pPr>
        <w:jc w:val="both"/>
        <w:rPr>
          <w:rFonts w:ascii="Book Antiqua" w:hAnsi="Book Antiqua" w:cs="Calibri"/>
          <w:sz w:val="24"/>
          <w:szCs w:val="24"/>
          <w:lang w:val="id-ID"/>
        </w:rPr>
      </w:pPr>
      <w:r w:rsidRPr="004472FB">
        <w:rPr>
          <w:rFonts w:ascii="Book Antiqua" w:hAnsi="Book Antiqua" w:cs="Calibri"/>
          <w:sz w:val="24"/>
          <w:szCs w:val="24"/>
          <w:lang w:val="id-ID"/>
        </w:rPr>
        <w:fldChar w:fldCharType="end"/>
      </w:r>
    </w:p>
    <w:sectPr w:rsidR="00972720" w:rsidRPr="004472FB" w:rsidSect="00641A8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701" w:header="1134" w:footer="1134" w:gutter="0"/>
      <w:pgNumType w:start="425"/>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ED5C2" w14:textId="77777777" w:rsidR="00AA7F2E" w:rsidRDefault="00AA7F2E">
      <w:r>
        <w:separator/>
      </w:r>
    </w:p>
  </w:endnote>
  <w:endnote w:type="continuationSeparator" w:id="0">
    <w:p w14:paraId="6843BE94" w14:textId="77777777" w:rsidR="00AA7F2E" w:rsidRDefault="00AA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rinda">
    <w:panose1 w:val="00000400000000000000"/>
    <w:charset w:val="00"/>
    <w:family w:val="swiss"/>
    <w:pitch w:val="variable"/>
    <w:sig w:usb0="0001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47CB" w14:textId="77777777" w:rsidR="00191DC6" w:rsidRPr="00BB34A9" w:rsidRDefault="00191DC6" w:rsidP="00C5320C">
    <w:pPr>
      <w:pStyle w:val="Footer"/>
      <w:ind w:right="60"/>
      <w:jc w:val="right"/>
      <w:rPr>
        <w:sz w:val="24"/>
        <w:szCs w:val="24"/>
      </w:rPr>
    </w:pPr>
    <w:r w:rsidRPr="00BB34A9">
      <w:rPr>
        <w:rStyle w:val="PageNumber"/>
        <w:sz w:val="24"/>
        <w:szCs w:val="24"/>
      </w:rPr>
      <w:t xml:space="preserve"> </w:t>
    </w:r>
    <w:r w:rsidR="00711B11" w:rsidRPr="00BB34A9">
      <w:rPr>
        <w:rStyle w:val="PageNumber"/>
        <w:sz w:val="24"/>
        <w:szCs w:val="24"/>
      </w:rPr>
      <w:fldChar w:fldCharType="begin"/>
    </w:r>
    <w:r w:rsidRPr="00BB34A9">
      <w:rPr>
        <w:rStyle w:val="PageNumber"/>
        <w:sz w:val="24"/>
        <w:szCs w:val="24"/>
      </w:rPr>
      <w:instrText xml:space="preserve"> PAGE </w:instrText>
    </w:r>
    <w:r w:rsidR="00711B11" w:rsidRPr="00BB34A9">
      <w:rPr>
        <w:rStyle w:val="PageNumber"/>
        <w:sz w:val="24"/>
        <w:szCs w:val="24"/>
      </w:rPr>
      <w:fldChar w:fldCharType="separate"/>
    </w:r>
    <w:r>
      <w:rPr>
        <w:rStyle w:val="PageNumber"/>
        <w:noProof/>
        <w:sz w:val="24"/>
        <w:szCs w:val="24"/>
      </w:rPr>
      <w:t>6</w:t>
    </w:r>
    <w:r w:rsidR="00711B11"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52" w:type="dxa"/>
      <w:tblBorders>
        <w:top w:val="thickThinSmallGap" w:sz="24" w:space="0" w:color="auto"/>
      </w:tblBorders>
      <w:tblLayout w:type="fixed"/>
      <w:tblLook w:val="04A0" w:firstRow="1" w:lastRow="0" w:firstColumn="1" w:lastColumn="0" w:noHBand="0" w:noVBand="1"/>
    </w:tblPr>
    <w:tblGrid>
      <w:gridCol w:w="8222"/>
      <w:gridCol w:w="630"/>
    </w:tblGrid>
    <w:tr w:rsidR="00147665" w:rsidRPr="00A76B25" w14:paraId="704E8407" w14:textId="77777777" w:rsidTr="00381560">
      <w:trPr>
        <w:trHeight w:val="207"/>
      </w:trPr>
      <w:tc>
        <w:tcPr>
          <w:tcW w:w="8222" w:type="dxa"/>
        </w:tcPr>
        <w:p w14:paraId="4455B175" w14:textId="77777777" w:rsidR="00147665" w:rsidRPr="004C7FD1" w:rsidRDefault="00147665" w:rsidP="00147665">
          <w:pPr>
            <w:pStyle w:val="Footer"/>
            <w:jc w:val="both"/>
            <w:rPr>
              <w:sz w:val="18"/>
              <w:szCs w:val="18"/>
            </w:rPr>
          </w:pPr>
        </w:p>
      </w:tc>
      <w:tc>
        <w:tcPr>
          <w:tcW w:w="630" w:type="dxa"/>
        </w:tcPr>
        <w:p w14:paraId="2685A66E" w14:textId="77777777" w:rsidR="00147665" w:rsidRPr="00214E43" w:rsidRDefault="00147665" w:rsidP="00147665">
          <w:pPr>
            <w:pStyle w:val="Footer"/>
            <w:jc w:val="right"/>
            <w:rPr>
              <w:rFonts w:ascii="Segoe UI" w:hAnsi="Segoe UI" w:cs="Segoe UI"/>
            </w:rPr>
          </w:pPr>
          <w:r w:rsidRPr="00214E43">
            <w:rPr>
              <w:rFonts w:ascii="Segoe UI" w:hAnsi="Segoe UI" w:cs="Segoe UI"/>
              <w:sz w:val="18"/>
              <w:szCs w:val="18"/>
            </w:rPr>
            <w:fldChar w:fldCharType="begin"/>
          </w:r>
          <w:r w:rsidRPr="00214E43">
            <w:rPr>
              <w:rFonts w:ascii="Segoe UI" w:hAnsi="Segoe UI" w:cs="Segoe UI"/>
              <w:sz w:val="18"/>
              <w:szCs w:val="18"/>
            </w:rPr>
            <w:instrText xml:space="preserve"> PAGE   \* MERGEFORMAT </w:instrText>
          </w:r>
          <w:r w:rsidRPr="00214E43">
            <w:rPr>
              <w:rFonts w:ascii="Segoe UI" w:hAnsi="Segoe UI" w:cs="Segoe UI"/>
              <w:sz w:val="18"/>
              <w:szCs w:val="18"/>
            </w:rPr>
            <w:fldChar w:fldCharType="separate"/>
          </w:r>
          <w:r w:rsidR="003E07E6">
            <w:rPr>
              <w:rFonts w:ascii="Segoe UI" w:hAnsi="Segoe UI" w:cs="Segoe UI"/>
              <w:noProof/>
              <w:sz w:val="18"/>
              <w:szCs w:val="18"/>
            </w:rPr>
            <w:t>2</w:t>
          </w:r>
          <w:r w:rsidRPr="00214E43">
            <w:rPr>
              <w:rFonts w:ascii="Segoe UI" w:hAnsi="Segoe UI" w:cs="Segoe UI"/>
              <w:noProof/>
              <w:sz w:val="18"/>
              <w:szCs w:val="18"/>
            </w:rPr>
            <w:fldChar w:fldCharType="end"/>
          </w:r>
        </w:p>
      </w:tc>
    </w:tr>
  </w:tbl>
  <w:p w14:paraId="00DF7162" w14:textId="77777777" w:rsidR="00191DC6" w:rsidRPr="00147665" w:rsidRDefault="00191DC6" w:rsidP="00147665">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43B98" w14:textId="77777777" w:rsidR="002968A9" w:rsidRDefault="002968A9">
    <w:pPr>
      <w:pStyle w:val="Footer"/>
      <w:jc w:val="center"/>
    </w:pPr>
  </w:p>
  <w:tbl>
    <w:tblPr>
      <w:tblW w:w="8852" w:type="dxa"/>
      <w:tblBorders>
        <w:top w:val="thickThinSmallGap" w:sz="24" w:space="0" w:color="auto"/>
      </w:tblBorders>
      <w:tblLayout w:type="fixed"/>
      <w:tblLook w:val="04A0" w:firstRow="1" w:lastRow="0" w:firstColumn="1" w:lastColumn="0" w:noHBand="0" w:noVBand="1"/>
    </w:tblPr>
    <w:tblGrid>
      <w:gridCol w:w="8222"/>
      <w:gridCol w:w="630"/>
    </w:tblGrid>
    <w:tr w:rsidR="00147665" w:rsidRPr="00A76B25" w14:paraId="36D8B9B6" w14:textId="77777777" w:rsidTr="00381560">
      <w:trPr>
        <w:trHeight w:val="207"/>
      </w:trPr>
      <w:tc>
        <w:tcPr>
          <w:tcW w:w="8222" w:type="dxa"/>
        </w:tcPr>
        <w:p w14:paraId="405FE54B" w14:textId="77777777" w:rsidR="00147665" w:rsidRPr="004C7FD1" w:rsidRDefault="00147665" w:rsidP="00147665">
          <w:pPr>
            <w:pStyle w:val="Footer"/>
            <w:jc w:val="both"/>
            <w:rPr>
              <w:sz w:val="18"/>
              <w:szCs w:val="18"/>
            </w:rPr>
          </w:pPr>
        </w:p>
      </w:tc>
      <w:tc>
        <w:tcPr>
          <w:tcW w:w="630" w:type="dxa"/>
        </w:tcPr>
        <w:p w14:paraId="39EC3C79" w14:textId="77777777" w:rsidR="00147665" w:rsidRPr="00214E43" w:rsidRDefault="00147665" w:rsidP="00147665">
          <w:pPr>
            <w:pStyle w:val="Footer"/>
            <w:jc w:val="right"/>
            <w:rPr>
              <w:rFonts w:ascii="Segoe UI" w:hAnsi="Segoe UI" w:cs="Segoe UI"/>
            </w:rPr>
          </w:pPr>
          <w:r w:rsidRPr="00214E43">
            <w:rPr>
              <w:rFonts w:ascii="Segoe UI" w:hAnsi="Segoe UI" w:cs="Segoe UI"/>
              <w:sz w:val="18"/>
              <w:szCs w:val="18"/>
            </w:rPr>
            <w:fldChar w:fldCharType="begin"/>
          </w:r>
          <w:r w:rsidRPr="00214E43">
            <w:rPr>
              <w:rFonts w:ascii="Segoe UI" w:hAnsi="Segoe UI" w:cs="Segoe UI"/>
              <w:sz w:val="18"/>
              <w:szCs w:val="18"/>
            </w:rPr>
            <w:instrText xml:space="preserve"> PAGE   \* MERGEFORMAT </w:instrText>
          </w:r>
          <w:r w:rsidRPr="00214E43">
            <w:rPr>
              <w:rFonts w:ascii="Segoe UI" w:hAnsi="Segoe UI" w:cs="Segoe UI"/>
              <w:sz w:val="18"/>
              <w:szCs w:val="18"/>
            </w:rPr>
            <w:fldChar w:fldCharType="separate"/>
          </w:r>
          <w:r w:rsidR="003E07E6">
            <w:rPr>
              <w:rFonts w:ascii="Segoe UI" w:hAnsi="Segoe UI" w:cs="Segoe UI"/>
              <w:noProof/>
              <w:sz w:val="18"/>
              <w:szCs w:val="18"/>
            </w:rPr>
            <w:t>1</w:t>
          </w:r>
          <w:r w:rsidRPr="00214E43">
            <w:rPr>
              <w:rFonts w:ascii="Segoe UI" w:hAnsi="Segoe UI" w:cs="Segoe UI"/>
              <w:noProof/>
              <w:sz w:val="18"/>
              <w:szCs w:val="18"/>
            </w:rPr>
            <w:fldChar w:fldCharType="end"/>
          </w:r>
        </w:p>
      </w:tc>
    </w:tr>
  </w:tbl>
  <w:p w14:paraId="475F0C50" w14:textId="77777777" w:rsidR="00191DC6" w:rsidRDefault="00191D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4AE10" w14:textId="77777777" w:rsidR="00AA7F2E" w:rsidRDefault="00AA7F2E">
      <w:r>
        <w:separator/>
      </w:r>
    </w:p>
  </w:footnote>
  <w:footnote w:type="continuationSeparator" w:id="0">
    <w:p w14:paraId="3AF2CB60" w14:textId="77777777" w:rsidR="00AA7F2E" w:rsidRDefault="00AA7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2D78D" w14:textId="77777777" w:rsidR="00191DC6" w:rsidRDefault="00191DC6">
    <w:pPr>
      <w:pStyle w:val="Header"/>
      <w:ind w:right="360"/>
      <w:rPr>
        <w:i/>
        <w:iCs/>
        <w:sz w:val="20"/>
        <w:szCs w:val="20"/>
      </w:rPr>
    </w:pPr>
  </w:p>
  <w:p w14:paraId="5C844291" w14:textId="77777777" w:rsidR="00191DC6" w:rsidRDefault="00191DC6">
    <w:pPr>
      <w:pStyle w:val="Header"/>
      <w:ind w:right="360"/>
      <w:rPr>
        <w:i/>
        <w:iCs/>
        <w:sz w:val="20"/>
        <w:szCs w:val="20"/>
      </w:rPr>
    </w:pPr>
  </w:p>
  <w:p w14:paraId="58FAA8BD" w14:textId="77777777" w:rsidR="00191DC6" w:rsidRDefault="00191DC6">
    <w:pPr>
      <w:pStyle w:val="Header"/>
      <w:ind w:right="360"/>
      <w:rPr>
        <w:i/>
        <w:iCs/>
        <w:sz w:val="20"/>
        <w:szCs w:val="20"/>
        <w:lang w:val="fi-FI"/>
      </w:rPr>
    </w:pPr>
  </w:p>
  <w:p w14:paraId="2328425D" w14:textId="77777777" w:rsidR="00191DC6" w:rsidRDefault="00191DC6">
    <w:pPr>
      <w:pStyle w:val="Header"/>
      <w:ind w:right="360"/>
      <w:rPr>
        <w:i/>
        <w:iCs/>
        <w:sz w:val="20"/>
        <w:szCs w:val="20"/>
        <w:lang w:val="fi-FI"/>
      </w:rPr>
    </w:pPr>
  </w:p>
  <w:p w14:paraId="5A86AC3F" w14:textId="77777777" w:rsidR="00191DC6" w:rsidRPr="00F4426C" w:rsidRDefault="00191DC6"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14:paraId="7B8ACB25" w14:textId="77777777" w:rsidR="00191DC6" w:rsidRPr="0041399A" w:rsidRDefault="00191DC6">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16A0379D" w14:textId="77777777" w:rsidR="00191DC6" w:rsidRDefault="004A27C4">
    <w:pPr>
      <w:pStyle w:val="Header"/>
    </w:pPr>
    <w:r>
      <w:rPr>
        <w:noProof/>
        <w:lang w:val="id-ID"/>
      </w:rPr>
      <mc:AlternateContent>
        <mc:Choice Requires="wps">
          <w:drawing>
            <wp:anchor distT="0" distB="0" distL="114300" distR="114300" simplePos="0" relativeHeight="251658240" behindDoc="0" locked="0" layoutInCell="1" allowOverlap="1" wp14:anchorId="4B0999C1" wp14:editId="4A5C637E">
              <wp:simplePos x="0" y="0"/>
              <wp:positionH relativeFrom="column">
                <wp:posOffset>0</wp:posOffset>
              </wp:positionH>
              <wp:positionV relativeFrom="paragraph">
                <wp:posOffset>24765</wp:posOffset>
              </wp:positionV>
              <wp:extent cx="5043805" cy="0"/>
              <wp:effectExtent l="9525" t="5715" r="13970" b="133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388F0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top w:val="none" w:sz="0" w:space="0" w:color="auto"/>
        <w:bottom w:val="thinThickSmallGap" w:sz="24" w:space="0" w:color="auto"/>
        <w:insideH w:val="none" w:sz="0" w:space="0" w:color="auto"/>
      </w:tblBorders>
      <w:tblLook w:val="04A0" w:firstRow="1" w:lastRow="0" w:firstColumn="1" w:lastColumn="0" w:noHBand="0" w:noVBand="1"/>
    </w:tblPr>
    <w:tblGrid>
      <w:gridCol w:w="4448"/>
      <w:gridCol w:w="4231"/>
    </w:tblGrid>
    <w:tr w:rsidR="00147665" w:rsidRPr="00D84FFB" w14:paraId="776CF91B" w14:textId="77777777" w:rsidTr="00147665">
      <w:tc>
        <w:tcPr>
          <w:tcW w:w="4570" w:type="dxa"/>
        </w:tcPr>
        <w:p w14:paraId="1783AC8E" w14:textId="35CE19FB" w:rsidR="00147665" w:rsidRPr="006266A2" w:rsidRDefault="00147665" w:rsidP="00147665">
          <w:pPr>
            <w:pStyle w:val="Header"/>
            <w:ind w:left="-108" w:right="-39"/>
            <w:rPr>
              <w:rFonts w:ascii="Kristen ITC" w:hAnsi="Kristen ITC" w:cs="Segoe UI"/>
              <w:b/>
              <w:sz w:val="18"/>
              <w:lang w:val="id-ID"/>
            </w:rPr>
          </w:pPr>
          <w:proofErr w:type="spellStart"/>
          <w:r w:rsidRPr="00147665">
            <w:rPr>
              <w:rFonts w:ascii="Kristen ITC" w:hAnsi="Kristen ITC" w:cs="Segoe UI"/>
              <w:b/>
              <w:sz w:val="18"/>
            </w:rPr>
            <w:t>J</w:t>
          </w:r>
          <w:r w:rsidR="006266A2">
            <w:rPr>
              <w:rFonts w:ascii="Kristen ITC" w:hAnsi="Kristen ITC" w:cs="Segoe UI"/>
              <w:b/>
              <w:sz w:val="18"/>
            </w:rPr>
            <w:t>urnal</w:t>
          </w:r>
          <w:proofErr w:type="spellEnd"/>
          <w:r w:rsidR="006266A2">
            <w:rPr>
              <w:rFonts w:ascii="Kristen ITC" w:hAnsi="Kristen ITC" w:cs="Segoe UI"/>
              <w:b/>
              <w:sz w:val="18"/>
              <w:lang w:val="id-ID"/>
            </w:rPr>
            <w:t xml:space="preserve"> Dimamu</w:t>
          </w:r>
        </w:p>
        <w:p w14:paraId="317F8C91" w14:textId="77777777" w:rsidR="00147665" w:rsidRPr="00C00C77" w:rsidRDefault="00147665" w:rsidP="00147665">
          <w:pPr>
            <w:pStyle w:val="Header"/>
            <w:rPr>
              <w:rFonts w:ascii="Segoe UI" w:hAnsi="Segoe UI" w:cs="Segoe UI"/>
              <w:sz w:val="18"/>
              <w:szCs w:val="18"/>
            </w:rPr>
          </w:pPr>
        </w:p>
      </w:tc>
      <w:tc>
        <w:tcPr>
          <w:tcW w:w="4349" w:type="dxa"/>
        </w:tcPr>
        <w:p w14:paraId="13B08F0F" w14:textId="1D06458E" w:rsidR="00147665" w:rsidRPr="006266A2" w:rsidRDefault="00F75F95" w:rsidP="00147665">
          <w:pPr>
            <w:pStyle w:val="Header"/>
            <w:jc w:val="right"/>
            <w:rPr>
              <w:rFonts w:ascii="Segoe UI" w:hAnsi="Segoe UI" w:cs="Segoe UI"/>
              <w:sz w:val="18"/>
              <w:szCs w:val="18"/>
              <w:lang w:val="id-ID"/>
            </w:rPr>
          </w:pPr>
          <w:r>
            <w:rPr>
              <w:rFonts w:ascii="Kristen ITC" w:hAnsi="Kristen ITC" w:cs="Segoe UI"/>
              <w:sz w:val="18"/>
            </w:rPr>
            <w:t>e-ISSN:</w:t>
          </w:r>
          <w:r>
            <w:rPr>
              <w:rFonts w:ascii="Kristen ITC" w:hAnsi="Kristen ITC" w:cs="Segoe UI"/>
              <w:sz w:val="18"/>
              <w:lang w:val="id-ID"/>
            </w:rPr>
            <w:t xml:space="preserve"> </w:t>
          </w:r>
          <w:r w:rsidR="006266A2">
            <w:rPr>
              <w:rFonts w:ascii="Kristen ITC" w:hAnsi="Kristen ITC" w:cs="Segoe UI"/>
              <w:sz w:val="18"/>
              <w:lang w:val="id-ID"/>
            </w:rPr>
            <w:t>2809-2228</w:t>
          </w:r>
        </w:p>
      </w:tc>
    </w:tr>
  </w:tbl>
  <w:p w14:paraId="261042F6" w14:textId="4A7577D9" w:rsidR="00191DC6" w:rsidRPr="0045779A" w:rsidRDefault="00191DC6" w:rsidP="008E2C93">
    <w:pPr>
      <w:tabs>
        <w:tab w:val="left" w:pos="7050"/>
      </w:tabs>
      <w:rPr>
        <w:rFonts w:ascii="Arial" w:hAnsi="Arial" w:cs="Arial"/>
        <w:b/>
        <w:noProof/>
        <w:sz w:val="24"/>
        <w:szCs w:val="24"/>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12"/>
      <w:tblW w:w="8649" w:type="dxa"/>
      <w:jc w:val="center"/>
      <w:tblInd w:w="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5140"/>
      <w:gridCol w:w="1766"/>
    </w:tblGrid>
    <w:tr w:rsidR="00641A81" w14:paraId="13D2CABF" w14:textId="77777777" w:rsidTr="00B43A67">
      <w:trPr>
        <w:jc w:val="center"/>
      </w:trPr>
      <w:tc>
        <w:tcPr>
          <w:tcW w:w="1743" w:type="dxa"/>
          <w:tcBorders>
            <w:top w:val="nil"/>
            <w:left w:val="nil"/>
            <w:bottom w:val="double" w:sz="4" w:space="0" w:color="4BACC6"/>
            <w:right w:val="nil"/>
          </w:tcBorders>
        </w:tcPr>
        <w:p w14:paraId="4F7A47D3" w14:textId="77777777" w:rsidR="00641A81" w:rsidRDefault="00641A81" w:rsidP="00641A81">
          <w:pPr>
            <w:tabs>
              <w:tab w:val="center" w:pos="4320"/>
              <w:tab w:val="right" w:pos="8640"/>
            </w:tabs>
            <w:ind w:left="425" w:hanging="142"/>
            <w:rPr>
              <w:rFonts w:ascii="Segoe UI" w:hAnsi="Segoe UI" w:cs="Segoe UI"/>
              <w:b/>
            </w:rPr>
          </w:pPr>
          <w:bookmarkStart w:id="1" w:name="_Hlk136466936"/>
          <w:bookmarkStart w:id="2" w:name="_Hlk136466937"/>
          <w:bookmarkStart w:id="3" w:name="_Hlk136467067"/>
          <w:bookmarkStart w:id="4" w:name="_Hlk136467068"/>
          <w:bookmarkStart w:id="5" w:name="_Hlk136467069"/>
          <w:bookmarkStart w:id="6" w:name="_Hlk136467070"/>
          <w:bookmarkStart w:id="7" w:name="_Hlk136467202"/>
          <w:bookmarkStart w:id="8" w:name="_Hlk136467203"/>
          <w:bookmarkStart w:id="9" w:name="_Hlk216179175"/>
          <w:bookmarkStart w:id="10" w:name="_Hlk216179176"/>
          <w:bookmarkStart w:id="11" w:name="_Hlk239143170"/>
          <w:bookmarkStart w:id="12" w:name="_Hlk239143171"/>
          <w:r>
            <w:rPr>
              <w:noProof/>
            </w:rPr>
            <w:drawing>
              <wp:anchor distT="0" distB="0" distL="114300" distR="114300" simplePos="0" relativeHeight="251660288" behindDoc="1" locked="0" layoutInCell="1" allowOverlap="1" wp14:anchorId="042FAF3C" wp14:editId="34623058">
                <wp:simplePos x="0" y="0"/>
                <wp:positionH relativeFrom="column">
                  <wp:posOffset>-12065</wp:posOffset>
                </wp:positionH>
                <wp:positionV relativeFrom="paragraph">
                  <wp:posOffset>30480</wp:posOffset>
                </wp:positionV>
                <wp:extent cx="986155" cy="473710"/>
                <wp:effectExtent l="0" t="0" r="4445"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473710"/>
                        </a:xfrm>
                        <a:prstGeom prst="rect">
                          <a:avLst/>
                        </a:prstGeom>
                        <a:noFill/>
                      </pic:spPr>
                    </pic:pic>
                  </a:graphicData>
                </a:graphic>
                <wp14:sizeRelH relativeFrom="page">
                  <wp14:pctWidth>0</wp14:pctWidth>
                </wp14:sizeRelH>
                <wp14:sizeRelV relativeFrom="page">
                  <wp14:pctHeight>0</wp14:pctHeight>
                </wp14:sizeRelV>
              </wp:anchor>
            </w:drawing>
          </w:r>
        </w:p>
        <w:p w14:paraId="21225627" w14:textId="77777777" w:rsidR="00641A81" w:rsidRDefault="00641A81" w:rsidP="00641A81">
          <w:pPr>
            <w:ind w:left="425" w:hanging="142"/>
            <w:jc w:val="center"/>
            <w:rPr>
              <w:rFonts w:ascii="Segoe UI" w:hAnsi="Segoe UI" w:cs="Segoe UI"/>
            </w:rPr>
          </w:pPr>
        </w:p>
      </w:tc>
      <w:tc>
        <w:tcPr>
          <w:tcW w:w="5140" w:type="dxa"/>
          <w:tcBorders>
            <w:top w:val="nil"/>
            <w:left w:val="nil"/>
            <w:bottom w:val="double" w:sz="4" w:space="0" w:color="4BACC6"/>
            <w:right w:val="nil"/>
          </w:tcBorders>
          <w:hideMark/>
        </w:tcPr>
        <w:p w14:paraId="3D4FCA3E" w14:textId="77777777" w:rsidR="00641A81" w:rsidRDefault="00641A81" w:rsidP="00641A81">
          <w:pPr>
            <w:tabs>
              <w:tab w:val="center" w:pos="4320"/>
              <w:tab w:val="right" w:pos="8640"/>
            </w:tabs>
            <w:ind w:left="-108" w:right="-39" w:hanging="142"/>
            <w:jc w:val="center"/>
            <w:rPr>
              <w:rFonts w:ascii="Kristen ITC" w:hAnsi="Kristen ITC" w:cs="Segoe UI"/>
              <w:b/>
              <w:sz w:val="18"/>
            </w:rPr>
          </w:pPr>
          <w:proofErr w:type="spellStart"/>
          <w:r>
            <w:rPr>
              <w:rFonts w:ascii="Kristen ITC" w:hAnsi="Kristen ITC" w:cs="Segoe UI"/>
              <w:b/>
              <w:sz w:val="18"/>
            </w:rPr>
            <w:t>Jurnal</w:t>
          </w:r>
          <w:proofErr w:type="spellEnd"/>
          <w:r>
            <w:rPr>
              <w:rFonts w:ascii="Kristen ITC" w:hAnsi="Kristen ITC" w:cs="Segoe UI"/>
              <w:b/>
              <w:sz w:val="18"/>
            </w:rPr>
            <w:t xml:space="preserve"> </w:t>
          </w:r>
          <w:proofErr w:type="spellStart"/>
          <w:r>
            <w:rPr>
              <w:rFonts w:ascii="Kristen ITC" w:hAnsi="Kristen ITC" w:cs="Segoe UI"/>
              <w:b/>
              <w:sz w:val="18"/>
            </w:rPr>
            <w:t>Dimamu</w:t>
          </w:r>
          <w:proofErr w:type="spellEnd"/>
        </w:p>
        <w:p w14:paraId="390E8F94" w14:textId="3AE4B775" w:rsidR="00641A81" w:rsidRPr="004B61A6" w:rsidRDefault="00641A81" w:rsidP="00641A81">
          <w:pPr>
            <w:tabs>
              <w:tab w:val="center" w:pos="4320"/>
              <w:tab w:val="right" w:pos="8640"/>
            </w:tabs>
            <w:ind w:left="-108" w:right="-39" w:hanging="142"/>
            <w:jc w:val="center"/>
            <w:rPr>
              <w:rFonts w:ascii="Kristen ITC" w:hAnsi="Kristen ITC" w:cs="Segoe UI"/>
              <w:bCs/>
              <w:sz w:val="18"/>
            </w:rPr>
          </w:pPr>
          <w:r>
            <w:rPr>
              <w:rFonts w:ascii="Kristen ITC" w:hAnsi="Kristen ITC" w:cs="Segoe UI"/>
              <w:bCs/>
              <w:sz w:val="18"/>
            </w:rPr>
            <w:t xml:space="preserve">Volume 5 No. 3 | </w:t>
          </w:r>
          <w:proofErr w:type="spellStart"/>
          <w:r>
            <w:rPr>
              <w:rFonts w:ascii="Kristen ITC" w:hAnsi="Kristen ITC" w:cs="Segoe UI"/>
              <w:bCs/>
              <w:sz w:val="18"/>
            </w:rPr>
            <w:t>Agustus</w:t>
          </w:r>
          <w:proofErr w:type="spellEnd"/>
          <w:r>
            <w:rPr>
              <w:rFonts w:ascii="Kristen ITC" w:hAnsi="Kristen ITC" w:cs="Segoe UI"/>
              <w:bCs/>
              <w:sz w:val="18"/>
            </w:rPr>
            <w:t xml:space="preserve"> 2026 </w:t>
          </w:r>
          <w:proofErr w:type="gramStart"/>
          <w:r>
            <w:rPr>
              <w:rFonts w:ascii="Kristen ITC" w:hAnsi="Kristen ITC" w:cs="Segoe UI"/>
              <w:bCs/>
              <w:sz w:val="18"/>
            </w:rPr>
            <w:t>Hal :</w:t>
          </w:r>
          <w:proofErr w:type="gramEnd"/>
          <w:r>
            <w:rPr>
              <w:rFonts w:ascii="Kristen ITC" w:hAnsi="Kristen ITC" w:cs="Segoe UI"/>
              <w:bCs/>
              <w:sz w:val="18"/>
            </w:rPr>
            <w:t xml:space="preserve"> 4</w:t>
          </w:r>
          <w:r>
            <w:rPr>
              <w:rFonts w:ascii="Kristen ITC" w:hAnsi="Kristen ITC" w:cs="Segoe UI"/>
              <w:bCs/>
              <w:sz w:val="18"/>
            </w:rPr>
            <w:t>25</w:t>
          </w:r>
          <w:r>
            <w:rPr>
              <w:rFonts w:ascii="Kristen ITC" w:hAnsi="Kristen ITC" w:cs="Segoe UI"/>
              <w:bCs/>
              <w:sz w:val="18"/>
            </w:rPr>
            <w:t>-4</w:t>
          </w:r>
          <w:r>
            <w:rPr>
              <w:rFonts w:ascii="Kristen ITC" w:hAnsi="Kristen ITC" w:cs="Segoe UI"/>
              <w:bCs/>
              <w:sz w:val="18"/>
            </w:rPr>
            <w:t>39</w:t>
          </w:r>
        </w:p>
        <w:p w14:paraId="7EA6FF8C" w14:textId="77777777" w:rsidR="00641A81" w:rsidRDefault="00641A81" w:rsidP="00641A81">
          <w:pPr>
            <w:tabs>
              <w:tab w:val="center" w:pos="4320"/>
              <w:tab w:val="right" w:pos="8640"/>
            </w:tabs>
            <w:ind w:left="-108" w:right="-39" w:hanging="142"/>
            <w:jc w:val="center"/>
            <w:rPr>
              <w:rFonts w:ascii="Kristen ITC" w:hAnsi="Kristen ITC" w:cs="Segoe UI"/>
              <w:sz w:val="18"/>
            </w:rPr>
          </w:pPr>
          <w:r>
            <w:rPr>
              <w:rFonts w:ascii="Kristen ITC" w:hAnsi="Kristen ITC" w:cs="Segoe UI"/>
              <w:bCs/>
              <w:sz w:val="18"/>
            </w:rPr>
            <w:t>DOI:</w:t>
          </w:r>
          <w:r>
            <w:rPr>
              <w:rFonts w:ascii="Kristen ITC" w:hAnsi="Kristen ITC" w:cs="Segoe UI"/>
              <w:sz w:val="18"/>
            </w:rPr>
            <w:t xml:space="preserve"> 10.32627</w:t>
          </w:r>
        </w:p>
        <w:p w14:paraId="67A69571" w14:textId="77777777" w:rsidR="00641A81" w:rsidRDefault="00641A81" w:rsidP="00641A81">
          <w:pPr>
            <w:tabs>
              <w:tab w:val="center" w:pos="4320"/>
              <w:tab w:val="right" w:pos="8640"/>
            </w:tabs>
            <w:ind w:left="45" w:right="-39" w:hanging="19"/>
            <w:jc w:val="center"/>
            <w:rPr>
              <w:rFonts w:ascii="Kristen ITC" w:hAnsi="Kristen ITC" w:cs="Segoe UI"/>
              <w:bCs/>
              <w:sz w:val="18"/>
            </w:rPr>
          </w:pPr>
          <w:r>
            <w:rPr>
              <w:rFonts w:ascii="Kristen ITC" w:hAnsi="Kristen ITC" w:cs="Segoe UI"/>
              <w:bCs/>
              <w:sz w:val="18"/>
            </w:rPr>
            <w:t xml:space="preserve">https://jurnal.masoemuniversity.ac.id/index.php/dimamu </w:t>
          </w:r>
        </w:p>
      </w:tc>
      <w:tc>
        <w:tcPr>
          <w:tcW w:w="1766" w:type="dxa"/>
          <w:tcBorders>
            <w:top w:val="nil"/>
            <w:left w:val="nil"/>
            <w:bottom w:val="double" w:sz="4" w:space="0" w:color="4BACC6"/>
            <w:right w:val="nil"/>
          </w:tcBorders>
          <w:vAlign w:val="center"/>
        </w:tcPr>
        <w:p w14:paraId="7CC00C5A" w14:textId="77777777" w:rsidR="00641A81" w:rsidRDefault="00641A81" w:rsidP="00641A81">
          <w:pPr>
            <w:tabs>
              <w:tab w:val="center" w:pos="4320"/>
              <w:tab w:val="right" w:pos="8640"/>
            </w:tabs>
            <w:ind w:right="-115"/>
            <w:jc w:val="center"/>
            <w:rPr>
              <w:rFonts w:ascii="Kristen ITC" w:hAnsi="Kristen ITC" w:cs="Segoe UI"/>
              <w:sz w:val="18"/>
            </w:rPr>
          </w:pPr>
          <w:r>
            <w:rPr>
              <w:rFonts w:ascii="Kristen ITC" w:hAnsi="Kristen ITC" w:cs="Segoe UI"/>
              <w:sz w:val="18"/>
            </w:rPr>
            <w:t>e-ISSN: 2809-2228</w:t>
          </w:r>
        </w:p>
        <w:p w14:paraId="6EA6E602" w14:textId="77777777" w:rsidR="00641A81" w:rsidRDefault="00641A81" w:rsidP="00641A81">
          <w:pPr>
            <w:tabs>
              <w:tab w:val="center" w:pos="4320"/>
              <w:tab w:val="right" w:pos="8640"/>
            </w:tabs>
            <w:ind w:left="425" w:right="-241" w:hanging="142"/>
            <w:rPr>
              <w:rFonts w:ascii="Kristen ITC" w:hAnsi="Kristen ITC" w:cs="Segoe UI"/>
              <w:b/>
              <w:sz w:val="18"/>
            </w:rPr>
          </w:pPr>
        </w:p>
      </w:tc>
    </w:tr>
    <w:bookmarkEnd w:id="1"/>
    <w:bookmarkEnd w:id="2"/>
    <w:bookmarkEnd w:id="3"/>
    <w:bookmarkEnd w:id="4"/>
    <w:bookmarkEnd w:id="5"/>
    <w:bookmarkEnd w:id="6"/>
    <w:bookmarkEnd w:id="7"/>
    <w:bookmarkEnd w:id="8"/>
    <w:bookmarkEnd w:id="9"/>
    <w:bookmarkEnd w:id="10"/>
    <w:bookmarkEnd w:id="11"/>
    <w:bookmarkEnd w:id="12"/>
  </w:tbl>
  <w:p w14:paraId="62503A76" w14:textId="2C1C8B47" w:rsidR="00155074" w:rsidRPr="00641A81" w:rsidRDefault="00155074" w:rsidP="0064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686383"/>
    <w:multiLevelType w:val="hybridMultilevel"/>
    <w:tmpl w:val="DE5C31F2"/>
    <w:lvl w:ilvl="0" w:tplc="A4668C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2"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AA1AA9"/>
    <w:multiLevelType w:val="hybridMultilevel"/>
    <w:tmpl w:val="F0DCADCC"/>
    <w:lvl w:ilvl="0" w:tplc="A4668C6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FD61AF4"/>
    <w:multiLevelType w:val="hybridMultilevel"/>
    <w:tmpl w:val="65C4A6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F74"/>
    <w:rsid w:val="000007CF"/>
    <w:rsid w:val="00003E51"/>
    <w:rsid w:val="00004FF6"/>
    <w:rsid w:val="00005F86"/>
    <w:rsid w:val="00010AAE"/>
    <w:rsid w:val="00013BF2"/>
    <w:rsid w:val="00015553"/>
    <w:rsid w:val="00015890"/>
    <w:rsid w:val="0001771B"/>
    <w:rsid w:val="000252F9"/>
    <w:rsid w:val="00032C49"/>
    <w:rsid w:val="00034B8F"/>
    <w:rsid w:val="00035108"/>
    <w:rsid w:val="0003721A"/>
    <w:rsid w:val="00041FD7"/>
    <w:rsid w:val="000429D4"/>
    <w:rsid w:val="0005051B"/>
    <w:rsid w:val="00053978"/>
    <w:rsid w:val="00056370"/>
    <w:rsid w:val="00080EC5"/>
    <w:rsid w:val="000919BF"/>
    <w:rsid w:val="00092820"/>
    <w:rsid w:val="000961E0"/>
    <w:rsid w:val="00096306"/>
    <w:rsid w:val="000B2491"/>
    <w:rsid w:val="000B5352"/>
    <w:rsid w:val="000B6805"/>
    <w:rsid w:val="000C6C5A"/>
    <w:rsid w:val="000D3A0F"/>
    <w:rsid w:val="000D6106"/>
    <w:rsid w:val="000E0133"/>
    <w:rsid w:val="000E01C2"/>
    <w:rsid w:val="000E4202"/>
    <w:rsid w:val="000E71FB"/>
    <w:rsid w:val="000F04FB"/>
    <w:rsid w:val="000F309B"/>
    <w:rsid w:val="00104B1B"/>
    <w:rsid w:val="00115603"/>
    <w:rsid w:val="001324C8"/>
    <w:rsid w:val="00136B60"/>
    <w:rsid w:val="0014029F"/>
    <w:rsid w:val="00143A33"/>
    <w:rsid w:val="00145D70"/>
    <w:rsid w:val="00147665"/>
    <w:rsid w:val="00152C7E"/>
    <w:rsid w:val="00152D1F"/>
    <w:rsid w:val="00155074"/>
    <w:rsid w:val="001627F7"/>
    <w:rsid w:val="00165B16"/>
    <w:rsid w:val="001660A4"/>
    <w:rsid w:val="00167E94"/>
    <w:rsid w:val="00171738"/>
    <w:rsid w:val="0018055E"/>
    <w:rsid w:val="00191DC6"/>
    <w:rsid w:val="00196539"/>
    <w:rsid w:val="001A3F14"/>
    <w:rsid w:val="001B79C1"/>
    <w:rsid w:val="001C03E3"/>
    <w:rsid w:val="001C13AB"/>
    <w:rsid w:val="001E68A3"/>
    <w:rsid w:val="001F4339"/>
    <w:rsid w:val="001F4627"/>
    <w:rsid w:val="00204345"/>
    <w:rsid w:val="00207D26"/>
    <w:rsid w:val="00211913"/>
    <w:rsid w:val="0021434E"/>
    <w:rsid w:val="00215F7F"/>
    <w:rsid w:val="00222B3C"/>
    <w:rsid w:val="0022503C"/>
    <w:rsid w:val="00225DE9"/>
    <w:rsid w:val="00231B76"/>
    <w:rsid w:val="002438D3"/>
    <w:rsid w:val="00251212"/>
    <w:rsid w:val="002512C8"/>
    <w:rsid w:val="00256BF1"/>
    <w:rsid w:val="00260BD4"/>
    <w:rsid w:val="0026197F"/>
    <w:rsid w:val="002619DB"/>
    <w:rsid w:val="00263A04"/>
    <w:rsid w:val="00272880"/>
    <w:rsid w:val="00275BA3"/>
    <w:rsid w:val="0027758D"/>
    <w:rsid w:val="00281A03"/>
    <w:rsid w:val="00285084"/>
    <w:rsid w:val="00286786"/>
    <w:rsid w:val="00287D58"/>
    <w:rsid w:val="00291C01"/>
    <w:rsid w:val="00293766"/>
    <w:rsid w:val="002964F7"/>
    <w:rsid w:val="002968A9"/>
    <w:rsid w:val="002977B9"/>
    <w:rsid w:val="002C0176"/>
    <w:rsid w:val="002C05CB"/>
    <w:rsid w:val="002C1182"/>
    <w:rsid w:val="002C313D"/>
    <w:rsid w:val="002C6A2B"/>
    <w:rsid w:val="002C75F3"/>
    <w:rsid w:val="002D03F0"/>
    <w:rsid w:val="002D3651"/>
    <w:rsid w:val="002D389A"/>
    <w:rsid w:val="002E1D6F"/>
    <w:rsid w:val="002E3877"/>
    <w:rsid w:val="002E48C0"/>
    <w:rsid w:val="002E7067"/>
    <w:rsid w:val="002F00AB"/>
    <w:rsid w:val="002F0A5E"/>
    <w:rsid w:val="00302AE7"/>
    <w:rsid w:val="003034D0"/>
    <w:rsid w:val="00311B04"/>
    <w:rsid w:val="00323153"/>
    <w:rsid w:val="00324913"/>
    <w:rsid w:val="0033688A"/>
    <w:rsid w:val="00340A20"/>
    <w:rsid w:val="00341E93"/>
    <w:rsid w:val="00343D7A"/>
    <w:rsid w:val="00344735"/>
    <w:rsid w:val="0036268C"/>
    <w:rsid w:val="00367983"/>
    <w:rsid w:val="0038433F"/>
    <w:rsid w:val="003874FF"/>
    <w:rsid w:val="003875FE"/>
    <w:rsid w:val="003966A8"/>
    <w:rsid w:val="00396A14"/>
    <w:rsid w:val="00397AD5"/>
    <w:rsid w:val="00397E32"/>
    <w:rsid w:val="003A1A95"/>
    <w:rsid w:val="003A77B4"/>
    <w:rsid w:val="003B2849"/>
    <w:rsid w:val="003C2CA1"/>
    <w:rsid w:val="003C3827"/>
    <w:rsid w:val="003C4AB1"/>
    <w:rsid w:val="003D1D72"/>
    <w:rsid w:val="003D3655"/>
    <w:rsid w:val="003D38A0"/>
    <w:rsid w:val="003D6F88"/>
    <w:rsid w:val="003E07E6"/>
    <w:rsid w:val="003E75EB"/>
    <w:rsid w:val="003F2EF5"/>
    <w:rsid w:val="00406341"/>
    <w:rsid w:val="00406F38"/>
    <w:rsid w:val="0041392F"/>
    <w:rsid w:val="0041399A"/>
    <w:rsid w:val="0041462F"/>
    <w:rsid w:val="004172E4"/>
    <w:rsid w:val="00420DEB"/>
    <w:rsid w:val="004314F8"/>
    <w:rsid w:val="0043191A"/>
    <w:rsid w:val="00434BDC"/>
    <w:rsid w:val="00440B56"/>
    <w:rsid w:val="00442B49"/>
    <w:rsid w:val="00446107"/>
    <w:rsid w:val="004472FB"/>
    <w:rsid w:val="00454E81"/>
    <w:rsid w:val="00456822"/>
    <w:rsid w:val="0045711B"/>
    <w:rsid w:val="0045779A"/>
    <w:rsid w:val="00460F97"/>
    <w:rsid w:val="00460FDF"/>
    <w:rsid w:val="00464BC6"/>
    <w:rsid w:val="004657A5"/>
    <w:rsid w:val="00466136"/>
    <w:rsid w:val="004704DC"/>
    <w:rsid w:val="004715C6"/>
    <w:rsid w:val="00474DEB"/>
    <w:rsid w:val="0048187B"/>
    <w:rsid w:val="00482F75"/>
    <w:rsid w:val="00484E66"/>
    <w:rsid w:val="00486AD8"/>
    <w:rsid w:val="00494EB1"/>
    <w:rsid w:val="004A1AFD"/>
    <w:rsid w:val="004A27C4"/>
    <w:rsid w:val="004B003A"/>
    <w:rsid w:val="004B70CB"/>
    <w:rsid w:val="004C42E7"/>
    <w:rsid w:val="004C585F"/>
    <w:rsid w:val="004C5C09"/>
    <w:rsid w:val="004D142F"/>
    <w:rsid w:val="004D779F"/>
    <w:rsid w:val="004E71D5"/>
    <w:rsid w:val="004E7605"/>
    <w:rsid w:val="004F3914"/>
    <w:rsid w:val="004F4FC0"/>
    <w:rsid w:val="005036EA"/>
    <w:rsid w:val="00520A9E"/>
    <w:rsid w:val="005245F2"/>
    <w:rsid w:val="00534438"/>
    <w:rsid w:val="00535ED7"/>
    <w:rsid w:val="0054020D"/>
    <w:rsid w:val="005412E3"/>
    <w:rsid w:val="00541E97"/>
    <w:rsid w:val="00543E50"/>
    <w:rsid w:val="0055340E"/>
    <w:rsid w:val="0055618E"/>
    <w:rsid w:val="00563663"/>
    <w:rsid w:val="00571666"/>
    <w:rsid w:val="00571AD1"/>
    <w:rsid w:val="005771D1"/>
    <w:rsid w:val="00580794"/>
    <w:rsid w:val="0058299D"/>
    <w:rsid w:val="00590A97"/>
    <w:rsid w:val="00590D73"/>
    <w:rsid w:val="00592629"/>
    <w:rsid w:val="005953EE"/>
    <w:rsid w:val="005A02E1"/>
    <w:rsid w:val="005A4045"/>
    <w:rsid w:val="005B6E97"/>
    <w:rsid w:val="005C241B"/>
    <w:rsid w:val="005C26ED"/>
    <w:rsid w:val="005C4619"/>
    <w:rsid w:val="005D0F6E"/>
    <w:rsid w:val="005D3FAE"/>
    <w:rsid w:val="005D64A5"/>
    <w:rsid w:val="005E4A04"/>
    <w:rsid w:val="005E4F2D"/>
    <w:rsid w:val="005E7C11"/>
    <w:rsid w:val="005F2F1A"/>
    <w:rsid w:val="005F639B"/>
    <w:rsid w:val="005F6EE6"/>
    <w:rsid w:val="006058B3"/>
    <w:rsid w:val="00611A71"/>
    <w:rsid w:val="00612E5E"/>
    <w:rsid w:val="00614C66"/>
    <w:rsid w:val="00625BAB"/>
    <w:rsid w:val="006266A2"/>
    <w:rsid w:val="00633497"/>
    <w:rsid w:val="00641A81"/>
    <w:rsid w:val="00647FFE"/>
    <w:rsid w:val="00657640"/>
    <w:rsid w:val="00657CB9"/>
    <w:rsid w:val="00657E66"/>
    <w:rsid w:val="00661D59"/>
    <w:rsid w:val="006630E8"/>
    <w:rsid w:val="00663729"/>
    <w:rsid w:val="006712DF"/>
    <w:rsid w:val="00672DBF"/>
    <w:rsid w:val="00673703"/>
    <w:rsid w:val="00676FA3"/>
    <w:rsid w:val="0068791E"/>
    <w:rsid w:val="00695933"/>
    <w:rsid w:val="006968C3"/>
    <w:rsid w:val="006A5839"/>
    <w:rsid w:val="006C10AA"/>
    <w:rsid w:val="006C1493"/>
    <w:rsid w:val="006C1B2A"/>
    <w:rsid w:val="006C6914"/>
    <w:rsid w:val="006D0BDC"/>
    <w:rsid w:val="006D1D4E"/>
    <w:rsid w:val="006D6311"/>
    <w:rsid w:val="006E1C71"/>
    <w:rsid w:val="006E5BD8"/>
    <w:rsid w:val="006F2BF4"/>
    <w:rsid w:val="006F44F5"/>
    <w:rsid w:val="00701546"/>
    <w:rsid w:val="0071166D"/>
    <w:rsid w:val="00711B11"/>
    <w:rsid w:val="00712A8A"/>
    <w:rsid w:val="0072028D"/>
    <w:rsid w:val="00720D2D"/>
    <w:rsid w:val="0073102D"/>
    <w:rsid w:val="00732CA4"/>
    <w:rsid w:val="00736FBC"/>
    <w:rsid w:val="0074405E"/>
    <w:rsid w:val="0075234A"/>
    <w:rsid w:val="00752428"/>
    <w:rsid w:val="00752FC6"/>
    <w:rsid w:val="0076288E"/>
    <w:rsid w:val="0076682C"/>
    <w:rsid w:val="00767D66"/>
    <w:rsid w:val="007766B6"/>
    <w:rsid w:val="007818BF"/>
    <w:rsid w:val="007873A8"/>
    <w:rsid w:val="0079121C"/>
    <w:rsid w:val="007A1535"/>
    <w:rsid w:val="007A5683"/>
    <w:rsid w:val="007B261F"/>
    <w:rsid w:val="007B36F1"/>
    <w:rsid w:val="007B697D"/>
    <w:rsid w:val="007B70A0"/>
    <w:rsid w:val="007B72D0"/>
    <w:rsid w:val="007C16BF"/>
    <w:rsid w:val="007D0E2D"/>
    <w:rsid w:val="007E0349"/>
    <w:rsid w:val="007E1DF0"/>
    <w:rsid w:val="007E278B"/>
    <w:rsid w:val="007F38C0"/>
    <w:rsid w:val="007F3EFA"/>
    <w:rsid w:val="007F5D6B"/>
    <w:rsid w:val="007F646B"/>
    <w:rsid w:val="00805B2F"/>
    <w:rsid w:val="00806B73"/>
    <w:rsid w:val="00806D31"/>
    <w:rsid w:val="00822311"/>
    <w:rsid w:val="0082452C"/>
    <w:rsid w:val="008248D3"/>
    <w:rsid w:val="008267D3"/>
    <w:rsid w:val="00830593"/>
    <w:rsid w:val="00830988"/>
    <w:rsid w:val="00833A50"/>
    <w:rsid w:val="00833E10"/>
    <w:rsid w:val="00844E76"/>
    <w:rsid w:val="008560A3"/>
    <w:rsid w:val="00864385"/>
    <w:rsid w:val="00875F3A"/>
    <w:rsid w:val="00884B01"/>
    <w:rsid w:val="008853F0"/>
    <w:rsid w:val="00886204"/>
    <w:rsid w:val="008912C8"/>
    <w:rsid w:val="008926F8"/>
    <w:rsid w:val="0089560F"/>
    <w:rsid w:val="008A45FA"/>
    <w:rsid w:val="008B24B4"/>
    <w:rsid w:val="008B360A"/>
    <w:rsid w:val="008B371F"/>
    <w:rsid w:val="008B6F74"/>
    <w:rsid w:val="008B7A0C"/>
    <w:rsid w:val="008C529D"/>
    <w:rsid w:val="008C5F40"/>
    <w:rsid w:val="008D2F1B"/>
    <w:rsid w:val="008D3A05"/>
    <w:rsid w:val="008D3AD0"/>
    <w:rsid w:val="008D5EB4"/>
    <w:rsid w:val="008D772C"/>
    <w:rsid w:val="008D7A1D"/>
    <w:rsid w:val="008E2C93"/>
    <w:rsid w:val="008E5086"/>
    <w:rsid w:val="008F614F"/>
    <w:rsid w:val="0090524A"/>
    <w:rsid w:val="0091543D"/>
    <w:rsid w:val="00916155"/>
    <w:rsid w:val="00917849"/>
    <w:rsid w:val="00920196"/>
    <w:rsid w:val="009271EB"/>
    <w:rsid w:val="00927CD0"/>
    <w:rsid w:val="00931E12"/>
    <w:rsid w:val="00933CD7"/>
    <w:rsid w:val="00934C4E"/>
    <w:rsid w:val="00936543"/>
    <w:rsid w:val="009452BC"/>
    <w:rsid w:val="00947D0F"/>
    <w:rsid w:val="00947FC5"/>
    <w:rsid w:val="0095037B"/>
    <w:rsid w:val="0095207D"/>
    <w:rsid w:val="00952157"/>
    <w:rsid w:val="009622A9"/>
    <w:rsid w:val="00965826"/>
    <w:rsid w:val="00972720"/>
    <w:rsid w:val="0097445C"/>
    <w:rsid w:val="0098431C"/>
    <w:rsid w:val="00986643"/>
    <w:rsid w:val="00991A70"/>
    <w:rsid w:val="0099281A"/>
    <w:rsid w:val="00992B59"/>
    <w:rsid w:val="0099479D"/>
    <w:rsid w:val="0099631E"/>
    <w:rsid w:val="00996416"/>
    <w:rsid w:val="009A25EC"/>
    <w:rsid w:val="009A2ED0"/>
    <w:rsid w:val="009A69C7"/>
    <w:rsid w:val="009A7506"/>
    <w:rsid w:val="009B2A06"/>
    <w:rsid w:val="009B2C99"/>
    <w:rsid w:val="009B4D7B"/>
    <w:rsid w:val="009C73C8"/>
    <w:rsid w:val="009E7DC8"/>
    <w:rsid w:val="009F1030"/>
    <w:rsid w:val="009F3F39"/>
    <w:rsid w:val="00A0057C"/>
    <w:rsid w:val="00A046DE"/>
    <w:rsid w:val="00A13127"/>
    <w:rsid w:val="00A20DB7"/>
    <w:rsid w:val="00A3120C"/>
    <w:rsid w:val="00A359A2"/>
    <w:rsid w:val="00A36275"/>
    <w:rsid w:val="00A404A2"/>
    <w:rsid w:val="00A53F5A"/>
    <w:rsid w:val="00A63716"/>
    <w:rsid w:val="00A63ED1"/>
    <w:rsid w:val="00A72F4F"/>
    <w:rsid w:val="00A76348"/>
    <w:rsid w:val="00A778E4"/>
    <w:rsid w:val="00A81AE5"/>
    <w:rsid w:val="00A92361"/>
    <w:rsid w:val="00A9682A"/>
    <w:rsid w:val="00AA3207"/>
    <w:rsid w:val="00AA4D01"/>
    <w:rsid w:val="00AA7F2E"/>
    <w:rsid w:val="00AB0BEB"/>
    <w:rsid w:val="00AB4632"/>
    <w:rsid w:val="00AB71B2"/>
    <w:rsid w:val="00AD0865"/>
    <w:rsid w:val="00AD4E88"/>
    <w:rsid w:val="00AD63F5"/>
    <w:rsid w:val="00AE1700"/>
    <w:rsid w:val="00AE271D"/>
    <w:rsid w:val="00AE3BC4"/>
    <w:rsid w:val="00AF64DA"/>
    <w:rsid w:val="00AF6D63"/>
    <w:rsid w:val="00B01282"/>
    <w:rsid w:val="00B052DD"/>
    <w:rsid w:val="00B05BF3"/>
    <w:rsid w:val="00B06E4E"/>
    <w:rsid w:val="00B13D27"/>
    <w:rsid w:val="00B15604"/>
    <w:rsid w:val="00B241D7"/>
    <w:rsid w:val="00B26E32"/>
    <w:rsid w:val="00B30575"/>
    <w:rsid w:val="00B30606"/>
    <w:rsid w:val="00B37DAC"/>
    <w:rsid w:val="00B403DA"/>
    <w:rsid w:val="00B4325C"/>
    <w:rsid w:val="00B44B9C"/>
    <w:rsid w:val="00B5281F"/>
    <w:rsid w:val="00B536D7"/>
    <w:rsid w:val="00B54B32"/>
    <w:rsid w:val="00B603B3"/>
    <w:rsid w:val="00B614D8"/>
    <w:rsid w:val="00B61E96"/>
    <w:rsid w:val="00B62E27"/>
    <w:rsid w:val="00B635C0"/>
    <w:rsid w:val="00B66AC9"/>
    <w:rsid w:val="00B75011"/>
    <w:rsid w:val="00B7759C"/>
    <w:rsid w:val="00B83646"/>
    <w:rsid w:val="00B85B50"/>
    <w:rsid w:val="00B8636F"/>
    <w:rsid w:val="00B87D84"/>
    <w:rsid w:val="00B95388"/>
    <w:rsid w:val="00B9613D"/>
    <w:rsid w:val="00B96B7A"/>
    <w:rsid w:val="00BA0727"/>
    <w:rsid w:val="00BA0E63"/>
    <w:rsid w:val="00BA48B9"/>
    <w:rsid w:val="00BA5393"/>
    <w:rsid w:val="00BA6E2D"/>
    <w:rsid w:val="00BB34A9"/>
    <w:rsid w:val="00BB62DF"/>
    <w:rsid w:val="00BC3372"/>
    <w:rsid w:val="00BC3C33"/>
    <w:rsid w:val="00BC7A74"/>
    <w:rsid w:val="00BD5C13"/>
    <w:rsid w:val="00BD5D0D"/>
    <w:rsid w:val="00BD6A3F"/>
    <w:rsid w:val="00BD7B5D"/>
    <w:rsid w:val="00BE3F46"/>
    <w:rsid w:val="00BE54E6"/>
    <w:rsid w:val="00BE6D1E"/>
    <w:rsid w:val="00BF5950"/>
    <w:rsid w:val="00C00292"/>
    <w:rsid w:val="00C015C9"/>
    <w:rsid w:val="00C07AE2"/>
    <w:rsid w:val="00C11320"/>
    <w:rsid w:val="00C11510"/>
    <w:rsid w:val="00C12FB0"/>
    <w:rsid w:val="00C167AC"/>
    <w:rsid w:val="00C21AF6"/>
    <w:rsid w:val="00C25923"/>
    <w:rsid w:val="00C26406"/>
    <w:rsid w:val="00C43E83"/>
    <w:rsid w:val="00C52FE7"/>
    <w:rsid w:val="00C5320C"/>
    <w:rsid w:val="00C567A5"/>
    <w:rsid w:val="00C76DE4"/>
    <w:rsid w:val="00C874BD"/>
    <w:rsid w:val="00C9374A"/>
    <w:rsid w:val="00C93951"/>
    <w:rsid w:val="00C95537"/>
    <w:rsid w:val="00CB0D75"/>
    <w:rsid w:val="00CB2E5F"/>
    <w:rsid w:val="00CB4345"/>
    <w:rsid w:val="00CB5A0F"/>
    <w:rsid w:val="00CC34F3"/>
    <w:rsid w:val="00CC5C3C"/>
    <w:rsid w:val="00CD5C0F"/>
    <w:rsid w:val="00CE20E5"/>
    <w:rsid w:val="00CE2448"/>
    <w:rsid w:val="00CE5B72"/>
    <w:rsid w:val="00CE6AA8"/>
    <w:rsid w:val="00CE79D9"/>
    <w:rsid w:val="00CE7B0E"/>
    <w:rsid w:val="00CF2110"/>
    <w:rsid w:val="00CF52FB"/>
    <w:rsid w:val="00D01540"/>
    <w:rsid w:val="00D03F33"/>
    <w:rsid w:val="00D076F2"/>
    <w:rsid w:val="00D1107E"/>
    <w:rsid w:val="00D16DAB"/>
    <w:rsid w:val="00D233C2"/>
    <w:rsid w:val="00D2464E"/>
    <w:rsid w:val="00D2621B"/>
    <w:rsid w:val="00D32933"/>
    <w:rsid w:val="00D33460"/>
    <w:rsid w:val="00D35FD7"/>
    <w:rsid w:val="00D36280"/>
    <w:rsid w:val="00D42FEF"/>
    <w:rsid w:val="00D50C90"/>
    <w:rsid w:val="00D5337C"/>
    <w:rsid w:val="00D57DA2"/>
    <w:rsid w:val="00D603D5"/>
    <w:rsid w:val="00D6182A"/>
    <w:rsid w:val="00D630BE"/>
    <w:rsid w:val="00D66FF1"/>
    <w:rsid w:val="00D74C0D"/>
    <w:rsid w:val="00D75E78"/>
    <w:rsid w:val="00D94FED"/>
    <w:rsid w:val="00D977F4"/>
    <w:rsid w:val="00DA16B4"/>
    <w:rsid w:val="00DB784C"/>
    <w:rsid w:val="00DC19C9"/>
    <w:rsid w:val="00DC3BC1"/>
    <w:rsid w:val="00DC5D64"/>
    <w:rsid w:val="00DD06C0"/>
    <w:rsid w:val="00DD30EA"/>
    <w:rsid w:val="00DD45DA"/>
    <w:rsid w:val="00DD530A"/>
    <w:rsid w:val="00DD607A"/>
    <w:rsid w:val="00DE6152"/>
    <w:rsid w:val="00DE6244"/>
    <w:rsid w:val="00DF157E"/>
    <w:rsid w:val="00DF319C"/>
    <w:rsid w:val="00DF7A24"/>
    <w:rsid w:val="00E026E3"/>
    <w:rsid w:val="00E14DD6"/>
    <w:rsid w:val="00E27E61"/>
    <w:rsid w:val="00E301D6"/>
    <w:rsid w:val="00E31F4A"/>
    <w:rsid w:val="00E34034"/>
    <w:rsid w:val="00E34E12"/>
    <w:rsid w:val="00E4499A"/>
    <w:rsid w:val="00E53663"/>
    <w:rsid w:val="00E60458"/>
    <w:rsid w:val="00E62E74"/>
    <w:rsid w:val="00E70E06"/>
    <w:rsid w:val="00E72AAC"/>
    <w:rsid w:val="00E755C1"/>
    <w:rsid w:val="00E75BC1"/>
    <w:rsid w:val="00E77F25"/>
    <w:rsid w:val="00E77F30"/>
    <w:rsid w:val="00E823BE"/>
    <w:rsid w:val="00E85AEA"/>
    <w:rsid w:val="00E94904"/>
    <w:rsid w:val="00E94E4B"/>
    <w:rsid w:val="00E96E61"/>
    <w:rsid w:val="00EB3CE0"/>
    <w:rsid w:val="00EC0997"/>
    <w:rsid w:val="00EC344E"/>
    <w:rsid w:val="00EC4096"/>
    <w:rsid w:val="00EC7EF9"/>
    <w:rsid w:val="00ED044E"/>
    <w:rsid w:val="00EE07FC"/>
    <w:rsid w:val="00EE2126"/>
    <w:rsid w:val="00EE3C66"/>
    <w:rsid w:val="00EF01C3"/>
    <w:rsid w:val="00EF0754"/>
    <w:rsid w:val="00F02ECA"/>
    <w:rsid w:val="00F05825"/>
    <w:rsid w:val="00F0654A"/>
    <w:rsid w:val="00F11470"/>
    <w:rsid w:val="00F140A3"/>
    <w:rsid w:val="00F15B4A"/>
    <w:rsid w:val="00F2217C"/>
    <w:rsid w:val="00F225E6"/>
    <w:rsid w:val="00F23403"/>
    <w:rsid w:val="00F23DF1"/>
    <w:rsid w:val="00F24A88"/>
    <w:rsid w:val="00F2587D"/>
    <w:rsid w:val="00F3044C"/>
    <w:rsid w:val="00F31BD4"/>
    <w:rsid w:val="00F425B6"/>
    <w:rsid w:val="00F4426C"/>
    <w:rsid w:val="00F504F9"/>
    <w:rsid w:val="00F52237"/>
    <w:rsid w:val="00F57295"/>
    <w:rsid w:val="00F608D2"/>
    <w:rsid w:val="00F66600"/>
    <w:rsid w:val="00F6721B"/>
    <w:rsid w:val="00F6766C"/>
    <w:rsid w:val="00F72A49"/>
    <w:rsid w:val="00F74906"/>
    <w:rsid w:val="00F74EE9"/>
    <w:rsid w:val="00F75F95"/>
    <w:rsid w:val="00F82F45"/>
    <w:rsid w:val="00F853EF"/>
    <w:rsid w:val="00F85D41"/>
    <w:rsid w:val="00F868A9"/>
    <w:rsid w:val="00F86A8A"/>
    <w:rsid w:val="00F95FCE"/>
    <w:rsid w:val="00F965EC"/>
    <w:rsid w:val="00F96AF2"/>
    <w:rsid w:val="00FB4F45"/>
    <w:rsid w:val="00FB5BD4"/>
    <w:rsid w:val="00FB7BB0"/>
    <w:rsid w:val="00FC1B23"/>
    <w:rsid w:val="00FC2C0E"/>
    <w:rsid w:val="00FC32D8"/>
    <w:rsid w:val="00FC6E73"/>
    <w:rsid w:val="00FD310B"/>
    <w:rsid w:val="00FD70EB"/>
    <w:rsid w:val="00FE32B8"/>
    <w:rsid w:val="00FF1095"/>
    <w:rsid w:val="00FF2936"/>
    <w:rsid w:val="00FF58AF"/>
    <w:rsid w:val="00FF5D8C"/>
    <w:rsid w:val="00FF616E"/>
    <w:rsid w:val="00FF6AF8"/>
    <w:rsid w:val="00FF75DD"/>
  </w:rsids>
  <m:mathPr>
    <m:mathFont m:val="Cambria Math"/>
    <m:brkBin m:val="before"/>
    <m:brkBinSub m:val="--"/>
    <m:smallFrac m:val="0"/>
    <m:dispDef/>
    <m:lMargin m:val="0"/>
    <m:rMargin m:val="0"/>
    <m:defJc m:val="centerGroup"/>
    <m:wrapIndent m:val="1440"/>
    <m:intLim m:val="subSup"/>
    <m:naryLim m:val="undOvr"/>
  </m:mathPr>
  <w:themeFontLang w:val="id-ID" w:eastAsia="zh-TW"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2F52FD"/>
  <w15:docId w15:val="{8039CE57-C3A4-4050-B7DF-CAEDB84F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F74"/>
    <w:rPr>
      <w:lang w:val="en-US" w:eastAsia="id-ID"/>
    </w:rPr>
  </w:style>
  <w:style w:type="paragraph" w:styleId="Heading1">
    <w:name w:val="heading 1"/>
    <w:basedOn w:val="Normal"/>
    <w:next w:val="Normal"/>
    <w:link w:val="Heading1Char"/>
    <w:uiPriority w:val="9"/>
    <w:qFormat/>
    <w:rsid w:val="008B6F7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B6F7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8B6F74"/>
    <w:pPr>
      <w:keepNext/>
      <w:numPr>
        <w:numId w:val="1"/>
      </w:numPr>
      <w:jc w:val="both"/>
      <w:outlineLvl w:val="2"/>
    </w:pPr>
    <w:rPr>
      <w:b/>
      <w:bCs/>
      <w:sz w:val="24"/>
      <w:szCs w:val="24"/>
    </w:rPr>
  </w:style>
  <w:style w:type="paragraph" w:styleId="Heading4">
    <w:name w:val="heading 4"/>
    <w:basedOn w:val="Normal"/>
    <w:next w:val="Normal"/>
    <w:link w:val="Heading4Char"/>
    <w:uiPriority w:val="9"/>
    <w:qFormat/>
    <w:rsid w:val="008B6F74"/>
    <w:pPr>
      <w:keepNext/>
      <w:spacing w:before="240" w:after="60"/>
      <w:outlineLvl w:val="3"/>
    </w:pPr>
    <w:rPr>
      <w:b/>
      <w:bCs/>
      <w:sz w:val="28"/>
      <w:szCs w:val="28"/>
    </w:rPr>
  </w:style>
  <w:style w:type="paragraph" w:styleId="Heading5">
    <w:name w:val="heading 5"/>
    <w:basedOn w:val="Normal"/>
    <w:next w:val="Normal"/>
    <w:link w:val="Heading5Char"/>
    <w:uiPriority w:val="9"/>
    <w:qFormat/>
    <w:rsid w:val="008B6F74"/>
    <w:pPr>
      <w:keepNext/>
      <w:outlineLvl w:val="4"/>
    </w:pPr>
    <w:rPr>
      <w:b/>
      <w:bCs/>
      <w:sz w:val="24"/>
      <w:szCs w:val="24"/>
      <w:lang w:eastAsia="en-US"/>
    </w:rPr>
  </w:style>
  <w:style w:type="paragraph" w:styleId="Heading6">
    <w:name w:val="heading 6"/>
    <w:basedOn w:val="Normal"/>
    <w:next w:val="Normal"/>
    <w:link w:val="Heading6Char"/>
    <w:qFormat/>
    <w:rsid w:val="008B6F74"/>
    <w:pPr>
      <w:keepNext/>
      <w:spacing w:line="480" w:lineRule="auto"/>
      <w:outlineLvl w:val="5"/>
    </w:pPr>
    <w:rPr>
      <w:b/>
      <w:bCs/>
      <w:color w:val="000000"/>
      <w:sz w:val="24"/>
      <w:szCs w:val="24"/>
      <w:lang w:eastAsia="en-US"/>
    </w:rPr>
  </w:style>
  <w:style w:type="paragraph" w:styleId="Heading7">
    <w:name w:val="heading 7"/>
    <w:basedOn w:val="Normal"/>
    <w:next w:val="Normal"/>
    <w:link w:val="Heading7Char"/>
    <w:uiPriority w:val="9"/>
    <w:qFormat/>
    <w:rsid w:val="0041392F"/>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Heading9">
    <w:name w:val="heading 9"/>
    <w:basedOn w:val="Normal"/>
    <w:next w:val="Normal"/>
    <w:link w:val="Heading9Ch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A0727"/>
    <w:rPr>
      <w:rFonts w:ascii="Cambria" w:eastAsia="Times New Roman" w:hAnsi="Cambria" w:cs="Times New Roman"/>
      <w:b/>
      <w:bCs/>
      <w:kern w:val="32"/>
      <w:sz w:val="32"/>
      <w:szCs w:val="32"/>
      <w:lang w:eastAsia="id-ID"/>
    </w:rPr>
  </w:style>
  <w:style w:type="character" w:customStyle="1" w:styleId="Heading2Char">
    <w:name w:val="Heading 2 Char"/>
    <w:basedOn w:val="DefaultParagraphFont"/>
    <w:link w:val="Heading2"/>
    <w:uiPriority w:val="9"/>
    <w:semiHidden/>
    <w:locked/>
    <w:rsid w:val="00BA0727"/>
    <w:rPr>
      <w:rFonts w:ascii="Cambria" w:eastAsia="Times New Roman" w:hAnsi="Cambria" w:cs="Times New Roman"/>
      <w:b/>
      <w:bCs/>
      <w:i/>
      <w:iCs/>
      <w:sz w:val="28"/>
      <w:szCs w:val="28"/>
      <w:lang w:eastAsia="id-ID"/>
    </w:rPr>
  </w:style>
  <w:style w:type="character" w:customStyle="1" w:styleId="Heading3Char">
    <w:name w:val="Heading 3 Char"/>
    <w:basedOn w:val="DefaultParagraphFont"/>
    <w:link w:val="Heading3"/>
    <w:uiPriority w:val="9"/>
    <w:locked/>
    <w:rsid w:val="00BA0727"/>
    <w:rPr>
      <w:b/>
      <w:bCs/>
      <w:sz w:val="24"/>
      <w:szCs w:val="24"/>
      <w:lang w:val="en-US" w:eastAsia="id-ID"/>
    </w:rPr>
  </w:style>
  <w:style w:type="character" w:customStyle="1" w:styleId="Heading4Char">
    <w:name w:val="Heading 4 Char"/>
    <w:basedOn w:val="DefaultParagraphFont"/>
    <w:link w:val="Heading4"/>
    <w:uiPriority w:val="9"/>
    <w:semiHidden/>
    <w:locked/>
    <w:rsid w:val="00BA0727"/>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locked/>
    <w:rsid w:val="00BA0727"/>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locked/>
    <w:rsid w:val="00BA0727"/>
    <w:rPr>
      <w:rFonts w:ascii="Calibri" w:eastAsia="Times New Roman" w:hAnsi="Calibri" w:cs="Times New Roman"/>
      <w:b/>
      <w:bCs/>
      <w:lang w:eastAsia="id-ID"/>
    </w:rPr>
  </w:style>
  <w:style w:type="character" w:customStyle="1" w:styleId="Heading7Char">
    <w:name w:val="Heading 7 Char"/>
    <w:basedOn w:val="DefaultParagraphFont"/>
    <w:link w:val="Heading7"/>
    <w:uiPriority w:val="9"/>
    <w:locked/>
    <w:rsid w:val="00BA0727"/>
    <w:rPr>
      <w:rFonts w:ascii="Calibri" w:eastAsia="Times New Roman" w:hAnsi="Calibri" w:cs="Times New Roman"/>
      <w:sz w:val="24"/>
      <w:szCs w:val="24"/>
      <w:lang w:eastAsia="id-ID"/>
    </w:rPr>
  </w:style>
  <w:style w:type="paragraph" w:styleId="BodyTextIndent3">
    <w:name w:val="Body Text Indent 3"/>
    <w:basedOn w:val="Normal"/>
    <w:link w:val="BodyTextIndent3Char"/>
    <w:uiPriority w:val="99"/>
    <w:rsid w:val="008B6F7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BA0727"/>
    <w:rPr>
      <w:rFonts w:cs="Times New Roman"/>
      <w:sz w:val="16"/>
      <w:szCs w:val="16"/>
      <w:lang w:eastAsia="id-ID"/>
    </w:rPr>
  </w:style>
  <w:style w:type="paragraph" w:styleId="Header">
    <w:name w:val="header"/>
    <w:basedOn w:val="Normal"/>
    <w:link w:val="HeaderChar"/>
    <w:uiPriority w:val="99"/>
    <w:qFormat/>
    <w:rsid w:val="008B6F74"/>
    <w:pPr>
      <w:tabs>
        <w:tab w:val="center" w:pos="4320"/>
        <w:tab w:val="right" w:pos="8640"/>
      </w:tabs>
    </w:pPr>
    <w:rPr>
      <w:sz w:val="24"/>
      <w:szCs w:val="24"/>
    </w:rPr>
  </w:style>
  <w:style w:type="character" w:customStyle="1" w:styleId="HeaderChar">
    <w:name w:val="Header Char"/>
    <w:basedOn w:val="DefaultParagraphFont"/>
    <w:link w:val="Header"/>
    <w:uiPriority w:val="99"/>
    <w:qFormat/>
    <w:locked/>
    <w:rsid w:val="00BA0727"/>
    <w:rPr>
      <w:rFonts w:cs="Times New Roman"/>
      <w:sz w:val="20"/>
      <w:szCs w:val="20"/>
      <w:lang w:eastAsia="id-ID"/>
    </w:rPr>
  </w:style>
  <w:style w:type="paragraph" w:styleId="BodyText">
    <w:name w:val="Body Text"/>
    <w:basedOn w:val="Normal"/>
    <w:link w:val="BodyTextChar"/>
    <w:uiPriority w:val="99"/>
    <w:rsid w:val="008B6F74"/>
    <w:pPr>
      <w:spacing w:after="120"/>
    </w:pPr>
  </w:style>
  <w:style w:type="character" w:customStyle="1" w:styleId="BodyTextChar">
    <w:name w:val="Body Text Char"/>
    <w:basedOn w:val="DefaultParagraphFont"/>
    <w:link w:val="BodyText"/>
    <w:uiPriority w:val="99"/>
    <w:locked/>
    <w:rsid w:val="00BA0727"/>
    <w:rPr>
      <w:rFonts w:cs="Times New Roman"/>
      <w:sz w:val="20"/>
      <w:szCs w:val="20"/>
      <w:lang w:eastAsia="id-ID"/>
    </w:rPr>
  </w:style>
  <w:style w:type="paragraph" w:styleId="Footer">
    <w:name w:val="footer"/>
    <w:basedOn w:val="Normal"/>
    <w:link w:val="FooterChar"/>
    <w:rsid w:val="008B6F74"/>
    <w:pPr>
      <w:tabs>
        <w:tab w:val="center" w:pos="4320"/>
        <w:tab w:val="right" w:pos="8640"/>
      </w:tabs>
    </w:pPr>
  </w:style>
  <w:style w:type="character" w:customStyle="1" w:styleId="FooterChar">
    <w:name w:val="Footer Char"/>
    <w:basedOn w:val="DefaultParagraphFont"/>
    <w:link w:val="Footer"/>
    <w:locked/>
    <w:rsid w:val="00BA0727"/>
    <w:rPr>
      <w:rFonts w:cs="Times New Roman"/>
      <w:sz w:val="20"/>
      <w:szCs w:val="20"/>
      <w:lang w:eastAsia="id-ID"/>
    </w:rPr>
  </w:style>
  <w:style w:type="character" w:styleId="PageNumber">
    <w:name w:val="page number"/>
    <w:basedOn w:val="DefaultParagraphFon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BodyText2">
    <w:name w:val="Body Text 2"/>
    <w:basedOn w:val="Normal"/>
    <w:link w:val="BodyText2Char"/>
    <w:uiPriority w:val="99"/>
    <w:rsid w:val="008B6F74"/>
    <w:pPr>
      <w:jc w:val="both"/>
    </w:pPr>
    <w:rPr>
      <w:color w:val="000000"/>
      <w:sz w:val="24"/>
      <w:szCs w:val="24"/>
      <w:lang w:eastAsia="en-US"/>
    </w:rPr>
  </w:style>
  <w:style w:type="character" w:customStyle="1" w:styleId="BodyText2Char">
    <w:name w:val="Body Text 2 Char"/>
    <w:basedOn w:val="DefaultParagraphFont"/>
    <w:link w:val="BodyText2"/>
    <w:uiPriority w:val="99"/>
    <w:semiHidden/>
    <w:locked/>
    <w:rsid w:val="00BA0727"/>
    <w:rPr>
      <w:rFonts w:cs="Times New Roman"/>
      <w:sz w:val="20"/>
      <w:szCs w:val="20"/>
      <w:lang w:eastAsia="id-ID"/>
    </w:rPr>
  </w:style>
  <w:style w:type="character" w:styleId="Hyperlink">
    <w:name w:val="Hyperlink"/>
    <w:basedOn w:val="DefaultParagraphFont"/>
    <w:uiPriority w:val="99"/>
    <w:rsid w:val="008B6F74"/>
    <w:rPr>
      <w:rFonts w:cs="Times New Roman"/>
      <w:color w:val="0000FF"/>
      <w:u w:val="single"/>
    </w:rPr>
  </w:style>
  <w:style w:type="character" w:styleId="Strong">
    <w:name w:val="Strong"/>
    <w:basedOn w:val="DefaultParagraphFont"/>
    <w:uiPriority w:val="22"/>
    <w:qFormat/>
    <w:rsid w:val="008B6F74"/>
    <w:rPr>
      <w:rFonts w:cs="Times New Roman"/>
      <w:b/>
      <w:bCs/>
    </w:rPr>
  </w:style>
  <w:style w:type="paragraph" w:styleId="BodyTextIndent">
    <w:name w:val="Body Text Indent"/>
    <w:basedOn w:val="Normal"/>
    <w:link w:val="BodyTextIndentChar"/>
    <w:uiPriority w:val="99"/>
    <w:rsid w:val="008B6F74"/>
    <w:pPr>
      <w:spacing w:after="120"/>
      <w:ind w:left="360"/>
    </w:pPr>
  </w:style>
  <w:style w:type="character" w:customStyle="1" w:styleId="BodyTextIndentChar">
    <w:name w:val="Body Text Indent Char"/>
    <w:basedOn w:val="DefaultParagraphFont"/>
    <w:link w:val="BodyTextIndent"/>
    <w:uiPriority w:val="99"/>
    <w:semiHidden/>
    <w:locked/>
    <w:rsid w:val="00BA0727"/>
    <w:rPr>
      <w:rFonts w:cs="Times New Roman"/>
      <w:sz w:val="20"/>
      <w:szCs w:val="20"/>
      <w:lang w:eastAsia="id-ID"/>
    </w:rPr>
  </w:style>
  <w:style w:type="character" w:customStyle="1" w:styleId="judulku">
    <w:name w:val="judulku"/>
    <w:basedOn w:val="DefaultParagraphFont"/>
    <w:uiPriority w:val="99"/>
    <w:rsid w:val="008B6F74"/>
    <w:rPr>
      <w:rFonts w:cs="Times New Roman"/>
    </w:rPr>
  </w:style>
  <w:style w:type="table" w:styleId="TableGrid">
    <w:name w:val="Table Grid"/>
    <w:basedOn w:val="TableNormal"/>
    <w:uiPriority w:val="59"/>
    <w:rsid w:val="00886204"/>
    <w:tblPr>
      <w:tblBorders>
        <w:top w:val="single" w:sz="4" w:space="0" w:color="auto"/>
        <w:bottom w:val="single" w:sz="4" w:space="0" w:color="auto"/>
        <w:insideH w:val="single" w:sz="4" w:space="0" w:color="auto"/>
      </w:tblBorders>
    </w:tblPr>
  </w:style>
  <w:style w:type="paragraph" w:styleId="BodyText3">
    <w:name w:val="Body Text 3"/>
    <w:basedOn w:val="Normal"/>
    <w:link w:val="BodyText3Char"/>
    <w:uiPriority w:val="99"/>
    <w:rsid w:val="0041392F"/>
    <w:pPr>
      <w:spacing w:after="120"/>
    </w:pPr>
    <w:rPr>
      <w:sz w:val="16"/>
      <w:szCs w:val="16"/>
    </w:rPr>
  </w:style>
  <w:style w:type="character" w:customStyle="1" w:styleId="BodyText3Char">
    <w:name w:val="Body Text 3 Char"/>
    <w:basedOn w:val="DefaultParagraphFont"/>
    <w:link w:val="BodyText3"/>
    <w:uiPriority w:val="99"/>
    <w:semiHidden/>
    <w:locked/>
    <w:rsid w:val="00BA0727"/>
    <w:rPr>
      <w:rFonts w:cs="Times New Roman"/>
      <w:sz w:val="16"/>
      <w:szCs w:val="16"/>
      <w:lang w:eastAsia="id-ID"/>
    </w:rPr>
  </w:style>
  <w:style w:type="paragraph" w:styleId="Title">
    <w:name w:val="Title"/>
    <w:basedOn w:val="Normal"/>
    <w:link w:val="TitleChar"/>
    <w:qFormat/>
    <w:rsid w:val="0041392F"/>
    <w:pPr>
      <w:spacing w:line="360" w:lineRule="auto"/>
      <w:jc w:val="center"/>
    </w:pPr>
    <w:rPr>
      <w:rFonts w:ascii="Arial" w:hAnsi="Arial" w:cs="Arial"/>
      <w:b/>
      <w:bCs/>
      <w:sz w:val="28"/>
      <w:szCs w:val="28"/>
      <w:lang w:eastAsia="en-US"/>
    </w:rPr>
  </w:style>
  <w:style w:type="character" w:customStyle="1" w:styleId="TitleChar">
    <w:name w:val="Title Char"/>
    <w:basedOn w:val="DefaultParagraphFont"/>
    <w:link w:val="Title"/>
    <w:uiPriority w:val="10"/>
    <w:locked/>
    <w:rsid w:val="00BA0727"/>
    <w:rPr>
      <w:rFonts w:ascii="Cambria" w:eastAsia="Times New Roman" w:hAnsi="Cambria" w:cs="Times New Roman"/>
      <w:b/>
      <w:bCs/>
      <w:kern w:val="28"/>
      <w:sz w:val="32"/>
      <w:szCs w:val="32"/>
      <w:lang w:eastAsia="id-ID"/>
    </w:rPr>
  </w:style>
  <w:style w:type="character" w:styleId="Emphasis">
    <w:name w:val="Emphasis"/>
    <w:basedOn w:val="DefaultParagraphFont"/>
    <w:uiPriority w:val="20"/>
    <w:qFormat/>
    <w:rsid w:val="006C1493"/>
    <w:rPr>
      <w:i w:val="0"/>
      <w:iCs w:val="0"/>
    </w:rPr>
  </w:style>
  <w:style w:type="paragraph" w:styleId="BalloonText">
    <w:name w:val="Balloon Text"/>
    <w:basedOn w:val="Normal"/>
    <w:link w:val="BalloonTextChar"/>
    <w:uiPriority w:val="99"/>
    <w:semiHidden/>
    <w:unhideWhenUsed/>
    <w:rsid w:val="00FD70EB"/>
    <w:rPr>
      <w:rFonts w:ascii="Tahoma" w:hAnsi="Tahoma" w:cs="Tahoma"/>
      <w:sz w:val="16"/>
      <w:szCs w:val="16"/>
    </w:rPr>
  </w:style>
  <w:style w:type="character" w:customStyle="1" w:styleId="BalloonTextChar">
    <w:name w:val="Balloon Text Char"/>
    <w:basedOn w:val="DefaultParagraphFont"/>
    <w:link w:val="BalloonText"/>
    <w:uiPriority w:val="99"/>
    <w:semiHidden/>
    <w:rsid w:val="00FD70EB"/>
    <w:rPr>
      <w:rFonts w:ascii="Tahoma" w:hAnsi="Tahoma" w:cs="Tahoma"/>
      <w:sz w:val="16"/>
      <w:szCs w:val="16"/>
      <w:lang w:eastAsia="id-ID"/>
    </w:rPr>
  </w:style>
  <w:style w:type="paragraph" w:styleId="PlainText">
    <w:name w:val="Plain Text"/>
    <w:basedOn w:val="Normal"/>
    <w:link w:val="PlainTextChar"/>
    <w:uiPriority w:val="99"/>
    <w:rsid w:val="00F57295"/>
    <w:rPr>
      <w:rFonts w:ascii="Courier New" w:hAnsi="Courier New" w:cs="Courier New"/>
      <w:lang w:eastAsia="en-US"/>
    </w:rPr>
  </w:style>
  <w:style w:type="character" w:customStyle="1" w:styleId="PlainTextChar">
    <w:name w:val="Plain Text Char"/>
    <w:basedOn w:val="DefaultParagraphFont"/>
    <w:link w:val="PlainText"/>
    <w:uiPriority w:val="99"/>
    <w:rsid w:val="00F57295"/>
    <w:rPr>
      <w:rFonts w:ascii="Courier New" w:hAnsi="Courier New" w:cs="Courier New"/>
    </w:rPr>
  </w:style>
  <w:style w:type="character" w:customStyle="1" w:styleId="text">
    <w:name w:val="text"/>
    <w:basedOn w:val="DefaultParagraphFont"/>
    <w:uiPriority w:val="99"/>
    <w:rsid w:val="00F57295"/>
    <w:rPr>
      <w:rFonts w:cs="Times New Roman"/>
    </w:rPr>
  </w:style>
  <w:style w:type="character" w:customStyle="1" w:styleId="longtext">
    <w:name w:val="long_text"/>
    <w:basedOn w:val="DefaultParagraphFon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ListParagraph">
    <w:name w:val="List Paragraph"/>
    <w:basedOn w:val="Normal"/>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NoSpacing">
    <w:name w:val="No Spacing"/>
    <w:link w:val="NoSpacingChar"/>
    <w:uiPriority w:val="1"/>
    <w:qFormat/>
    <w:rsid w:val="00C5320C"/>
    <w:rPr>
      <w:rFonts w:ascii="Calibri" w:hAnsi="Calibri"/>
      <w:sz w:val="22"/>
      <w:szCs w:val="22"/>
      <w:lang w:val="en-US" w:eastAsia="en-US"/>
    </w:rPr>
  </w:style>
  <w:style w:type="paragraph" w:styleId="BodyTextIndent2">
    <w:name w:val="Body Text Indent 2"/>
    <w:basedOn w:val="Normal"/>
    <w:link w:val="BodyTextIndent2Char"/>
    <w:uiPriority w:val="99"/>
    <w:unhideWhenUsed/>
    <w:rsid w:val="00BB62DF"/>
    <w:pPr>
      <w:spacing w:after="120" w:line="480" w:lineRule="auto"/>
      <w:ind w:left="283"/>
    </w:pPr>
  </w:style>
  <w:style w:type="character" w:customStyle="1" w:styleId="BodyTextIndent2Char">
    <w:name w:val="Body Text Indent 2 Char"/>
    <w:basedOn w:val="DefaultParagraphFont"/>
    <w:link w:val="BodyTextIndent2"/>
    <w:uiPriority w:val="99"/>
    <w:rsid w:val="00BB62DF"/>
    <w:rPr>
      <w:lang w:val="en-US" w:eastAsia="id-ID"/>
    </w:rPr>
  </w:style>
  <w:style w:type="character" w:customStyle="1" w:styleId="mw-headline">
    <w:name w:val="mw-headline"/>
    <w:basedOn w:val="DefaultParagraphFont"/>
    <w:uiPriority w:val="99"/>
    <w:rsid w:val="00BB62DF"/>
    <w:rPr>
      <w:rFonts w:cs="Times New Roman"/>
    </w:rPr>
  </w:style>
  <w:style w:type="character" w:customStyle="1" w:styleId="fullpost">
    <w:name w:val="fullpost"/>
    <w:basedOn w:val="DefaultParagraphFont"/>
    <w:rsid w:val="00592629"/>
  </w:style>
  <w:style w:type="character" w:customStyle="1" w:styleId="hps">
    <w:name w:val="hps"/>
    <w:basedOn w:val="DefaultParagraphFont"/>
    <w:rsid w:val="00592629"/>
  </w:style>
  <w:style w:type="character" w:customStyle="1" w:styleId="apple-converted-space">
    <w:name w:val="apple-converted-space"/>
    <w:basedOn w:val="DefaultParagraphFont"/>
    <w:rsid w:val="002438D3"/>
  </w:style>
  <w:style w:type="character" w:customStyle="1" w:styleId="Heading8Char">
    <w:name w:val="Heading 8 Char"/>
    <w:basedOn w:val="DefaultParagraphFont"/>
    <w:link w:val="Heading8"/>
    <w:uiPriority w:val="9"/>
    <w:semiHidden/>
    <w:rsid w:val="00F15B4A"/>
    <w:rPr>
      <w:rFonts w:ascii="Calibri" w:hAnsi="Calibri"/>
      <w:i/>
      <w:iCs/>
      <w:sz w:val="24"/>
      <w:szCs w:val="24"/>
      <w:lang w:val="en-US" w:eastAsia="en-US"/>
    </w:rPr>
  </w:style>
  <w:style w:type="character" w:customStyle="1" w:styleId="Heading9Char">
    <w:name w:val="Heading 9 Char"/>
    <w:basedOn w:val="DefaultParagraphFont"/>
    <w:link w:val="Heading9"/>
    <w:uiPriority w:val="9"/>
    <w:semiHidden/>
    <w:rsid w:val="00F15B4A"/>
    <w:rPr>
      <w:rFonts w:ascii="Cambria" w:hAnsi="Cambria"/>
      <w:sz w:val="22"/>
      <w:szCs w:val="22"/>
      <w:lang w:val="en-US" w:eastAsia="en-US"/>
    </w:rPr>
  </w:style>
  <w:style w:type="paragraph" w:styleId="HTMLPreformatted">
    <w:name w:val="HTML Preformatted"/>
    <w:basedOn w:val="Normal"/>
    <w:link w:val="HTMLPreformattedCh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F15B4A"/>
    <w:rPr>
      <w:rFonts w:ascii="Courier New" w:hAnsi="Courier New" w:cs="Courier New"/>
      <w:lang w:eastAsia="id-ID"/>
    </w:rPr>
  </w:style>
  <w:style w:type="character" w:customStyle="1" w:styleId="NoSpacingChar">
    <w:name w:val="No Spacing Char"/>
    <w:basedOn w:val="DefaultParagraphFont"/>
    <w:link w:val="NoSpacing"/>
    <w:uiPriority w:val="1"/>
    <w:rsid w:val="00C00292"/>
    <w:rPr>
      <w:rFonts w:ascii="Calibri" w:hAnsi="Calibri"/>
      <w:sz w:val="22"/>
      <w:szCs w:val="22"/>
      <w:lang w:val="en-US" w:eastAsia="en-US"/>
    </w:rPr>
  </w:style>
  <w:style w:type="table" w:customStyle="1" w:styleId="TableGrid0">
    <w:name w:val="TableGrid"/>
    <w:rsid w:val="00701546"/>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A046DE"/>
    <w:rPr>
      <w:sz w:val="16"/>
      <w:szCs w:val="16"/>
    </w:rPr>
  </w:style>
  <w:style w:type="paragraph" w:styleId="CommentText">
    <w:name w:val="annotation text"/>
    <w:basedOn w:val="Normal"/>
    <w:link w:val="CommentTextChar"/>
    <w:uiPriority w:val="99"/>
    <w:semiHidden/>
    <w:unhideWhenUsed/>
    <w:rsid w:val="00A046DE"/>
  </w:style>
  <w:style w:type="character" w:customStyle="1" w:styleId="CommentTextChar">
    <w:name w:val="Comment Text Char"/>
    <w:basedOn w:val="DefaultParagraphFont"/>
    <w:link w:val="CommentText"/>
    <w:uiPriority w:val="99"/>
    <w:semiHidden/>
    <w:rsid w:val="00A046DE"/>
    <w:rPr>
      <w:lang w:val="en-US" w:eastAsia="id-ID"/>
    </w:rPr>
  </w:style>
  <w:style w:type="paragraph" w:styleId="CommentSubject">
    <w:name w:val="annotation subject"/>
    <w:basedOn w:val="CommentText"/>
    <w:next w:val="CommentText"/>
    <w:link w:val="CommentSubjectChar"/>
    <w:uiPriority w:val="99"/>
    <w:semiHidden/>
    <w:unhideWhenUsed/>
    <w:rsid w:val="00A046DE"/>
    <w:rPr>
      <w:b/>
      <w:bCs/>
    </w:rPr>
  </w:style>
  <w:style w:type="character" w:customStyle="1" w:styleId="CommentSubjectChar">
    <w:name w:val="Comment Subject Char"/>
    <w:basedOn w:val="CommentTextChar"/>
    <w:link w:val="CommentSubject"/>
    <w:uiPriority w:val="99"/>
    <w:semiHidden/>
    <w:rsid w:val="00A046DE"/>
    <w:rPr>
      <w:b/>
      <w:bCs/>
      <w:lang w:val="en-US" w:eastAsia="id-ID"/>
    </w:rPr>
  </w:style>
  <w:style w:type="character" w:styleId="FollowedHyperlink">
    <w:name w:val="FollowedHyperlink"/>
    <w:basedOn w:val="DefaultParagraphFont"/>
    <w:uiPriority w:val="99"/>
    <w:semiHidden/>
    <w:unhideWhenUsed/>
    <w:rsid w:val="00AD63F5"/>
    <w:rPr>
      <w:color w:val="800080" w:themeColor="followedHyperlink"/>
      <w:u w:val="single"/>
    </w:rPr>
  </w:style>
  <w:style w:type="table" w:customStyle="1" w:styleId="TableGrid1">
    <w:name w:val="Table Grid1"/>
    <w:basedOn w:val="TableNormal"/>
    <w:next w:val="TableGrid"/>
    <w:uiPriority w:val="39"/>
    <w:rsid w:val="00AD63F5"/>
    <w:rPr>
      <w:lang w:val="en-US" w:eastAsia="en-US"/>
    </w:rPr>
    <w:tblPr>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Pr>
  </w:style>
  <w:style w:type="character" w:customStyle="1" w:styleId="apple-style-span">
    <w:name w:val="apple-style-span"/>
    <w:basedOn w:val="DefaultParagraphFont"/>
    <w:rsid w:val="007F3EFA"/>
  </w:style>
  <w:style w:type="character" w:customStyle="1" w:styleId="y2iqfc">
    <w:name w:val="y2iqfc"/>
    <w:basedOn w:val="DefaultParagraphFont"/>
    <w:rsid w:val="00406341"/>
  </w:style>
  <w:style w:type="character" w:styleId="UnresolvedMention">
    <w:name w:val="Unresolved Mention"/>
    <w:basedOn w:val="DefaultParagraphFont"/>
    <w:uiPriority w:val="99"/>
    <w:semiHidden/>
    <w:unhideWhenUsed/>
    <w:rsid w:val="00FC6E73"/>
    <w:rPr>
      <w:color w:val="605E5C"/>
      <w:shd w:val="clear" w:color="auto" w:fill="E1DFDD"/>
    </w:rPr>
  </w:style>
  <w:style w:type="paragraph" w:styleId="Caption">
    <w:name w:val="caption"/>
    <w:basedOn w:val="Normal"/>
    <w:next w:val="Normal"/>
    <w:uiPriority w:val="35"/>
    <w:unhideWhenUsed/>
    <w:qFormat/>
    <w:rsid w:val="00B75011"/>
    <w:pPr>
      <w:spacing w:after="200"/>
    </w:pPr>
    <w:rPr>
      <w:i/>
      <w:iCs/>
      <w:color w:val="1F497D" w:themeColor="text2"/>
      <w:sz w:val="18"/>
      <w:szCs w:val="18"/>
    </w:rPr>
  </w:style>
  <w:style w:type="table" w:styleId="PlainTable2">
    <w:name w:val="Plain Table 2"/>
    <w:basedOn w:val="TableNormal"/>
    <w:uiPriority w:val="42"/>
    <w:rsid w:val="00B750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2">
    <w:name w:val="Table Grid12"/>
    <w:basedOn w:val="TableNormal"/>
    <w:uiPriority w:val="39"/>
    <w:rsid w:val="00641A81"/>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53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AA762-6A71-4986-A730-1F8841BA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23625</Words>
  <Characters>134667</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157977</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ABDIMU</dc:creator>
  <cp:lastModifiedBy>Reviewer</cp:lastModifiedBy>
  <cp:revision>28</cp:revision>
  <cp:lastPrinted>2017-03-16T01:56:00Z</cp:lastPrinted>
  <dcterms:created xsi:type="dcterms:W3CDTF">2026-08-22T06:07:00Z</dcterms:created>
  <dcterms:modified xsi:type="dcterms:W3CDTF">2026-09-04T07:02:00Z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14ac18d0-2b98-3473-8f12-8d84cd3a98f1</vt:lpwstr>
  </property>
</Properties>
</file>